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52880" w14:textId="77777777" w:rsidR="008A55B5" w:rsidRDefault="005263A4">
      <w:pPr>
        <w:pStyle w:val="papertitle"/>
        <w:rPr>
          <w:rFonts w:eastAsia="MS Mincho"/>
        </w:rPr>
      </w:pPr>
      <w:bookmarkStart w:id="0" w:name="_GoBack"/>
      <w:bookmarkEnd w:id="0"/>
      <w:r>
        <w:rPr>
          <w:rFonts w:eastAsia="MS Mincho"/>
        </w:rPr>
        <w:t xml:space="preserve">Impact of Distributed Generation on Power Quality in Distribution Network </w:t>
      </w:r>
    </w:p>
    <w:p w14:paraId="2BF8C194" w14:textId="6D2313CC" w:rsidR="008A55B5" w:rsidRDefault="005263A4" w:rsidP="000908E4">
      <w:pPr>
        <w:pStyle w:val="papersubtitle"/>
        <w:rPr>
          <w:rFonts w:eastAsia="MS Mincho"/>
        </w:rPr>
      </w:pPr>
      <w:r>
        <w:rPr>
          <w:rFonts w:eastAsia="MS Mincho"/>
        </w:rPr>
        <w:t>Experience from Eastern Croatia</w:t>
      </w:r>
    </w:p>
    <w:p w14:paraId="55526460" w14:textId="77777777" w:rsidR="008A55B5" w:rsidRDefault="005263A4">
      <w:pPr>
        <w:pStyle w:val="Author"/>
        <w:rPr>
          <w:rFonts w:eastAsia="MS Mincho"/>
        </w:rPr>
      </w:pPr>
      <w:r>
        <w:rPr>
          <w:rFonts w:eastAsia="MS Mincho"/>
        </w:rPr>
        <w:t>Zvonimir Klaić, Mario Primorac, Danijel Topić, Goran Knežević</w:t>
      </w:r>
    </w:p>
    <w:p w14:paraId="54E1A94A" w14:textId="77777777" w:rsidR="008A55B5" w:rsidRDefault="005263A4">
      <w:pPr>
        <w:pStyle w:val="Affiliation"/>
        <w:rPr>
          <w:rFonts w:eastAsia="MS Mincho"/>
        </w:rPr>
      </w:pPr>
      <w:r w:rsidRPr="005263A4">
        <w:rPr>
          <w:rFonts w:eastAsia="MS Mincho"/>
        </w:rPr>
        <w:t>Faculty of Electrical Engineering, Computer Science and Information Technology Osijek</w:t>
      </w:r>
    </w:p>
    <w:p w14:paraId="70286F32" w14:textId="77777777" w:rsidR="008A55B5" w:rsidRDefault="005263A4">
      <w:pPr>
        <w:pStyle w:val="Affiliation"/>
        <w:rPr>
          <w:rFonts w:eastAsia="MS Mincho"/>
        </w:rPr>
      </w:pPr>
      <w:r>
        <w:rPr>
          <w:rFonts w:eastAsia="MS Mincho"/>
        </w:rPr>
        <w:t>Osijek, Croatia</w:t>
      </w:r>
    </w:p>
    <w:p w14:paraId="5A3EBFE8" w14:textId="77777777" w:rsidR="008A55B5" w:rsidRDefault="007B73D7">
      <w:pPr>
        <w:pStyle w:val="Affiliation"/>
        <w:rPr>
          <w:rFonts w:eastAsia="MS Mincho"/>
        </w:rPr>
      </w:pPr>
      <w:hyperlink r:id="rId5" w:history="1">
        <w:r w:rsidR="005263A4" w:rsidRPr="000F529D">
          <w:rPr>
            <w:rStyle w:val="Hyperlink"/>
            <w:rFonts w:eastAsia="MS Mincho"/>
          </w:rPr>
          <w:t>zvonimir.klaic@ferit.hr</w:t>
        </w:r>
      </w:hyperlink>
      <w:r w:rsidR="005263A4">
        <w:rPr>
          <w:rFonts w:eastAsia="MS Mincho"/>
        </w:rPr>
        <w:t xml:space="preserve">, </w:t>
      </w:r>
      <w:hyperlink r:id="rId6" w:history="1">
        <w:r w:rsidR="005263A4" w:rsidRPr="000F529D">
          <w:rPr>
            <w:rStyle w:val="Hyperlink"/>
            <w:rFonts w:eastAsia="MS Mincho"/>
          </w:rPr>
          <w:t>mario.primorac@ferit.hr</w:t>
        </w:r>
      </w:hyperlink>
      <w:r w:rsidR="005263A4">
        <w:rPr>
          <w:rFonts w:eastAsia="MS Mincho"/>
        </w:rPr>
        <w:t xml:space="preserve">, </w:t>
      </w:r>
      <w:hyperlink r:id="rId7" w:history="1">
        <w:r w:rsidR="005263A4" w:rsidRPr="000F529D">
          <w:rPr>
            <w:rStyle w:val="Hyperlink"/>
            <w:rFonts w:eastAsia="MS Mincho"/>
          </w:rPr>
          <w:t>danijel.topic@ferit.hr</w:t>
        </w:r>
      </w:hyperlink>
      <w:r w:rsidR="005263A4">
        <w:rPr>
          <w:rFonts w:eastAsia="MS Mincho"/>
        </w:rPr>
        <w:t xml:space="preserve">, </w:t>
      </w:r>
      <w:hyperlink r:id="rId8" w:history="1">
        <w:r w:rsidR="005263A4" w:rsidRPr="000F529D">
          <w:rPr>
            <w:rStyle w:val="Hyperlink"/>
            <w:rFonts w:eastAsia="MS Mincho"/>
          </w:rPr>
          <w:t>goran.knezevic@ferit.hr</w:t>
        </w:r>
      </w:hyperlink>
      <w:r w:rsidR="005263A4">
        <w:rPr>
          <w:rFonts w:eastAsia="MS Mincho"/>
        </w:rPr>
        <w:t xml:space="preserve"> </w:t>
      </w:r>
    </w:p>
    <w:p w14:paraId="3455131B" w14:textId="77777777" w:rsidR="008A55B5" w:rsidRDefault="008A55B5">
      <w:pPr>
        <w:pStyle w:val="Affiliation"/>
        <w:rPr>
          <w:rFonts w:eastAsia="MS Mincho"/>
        </w:rPr>
      </w:pPr>
    </w:p>
    <w:p w14:paraId="3ECAB4E5" w14:textId="77777777" w:rsidR="008A55B5" w:rsidRDefault="008A55B5">
      <w:pPr>
        <w:rPr>
          <w:rFonts w:eastAsia="MS Mincho"/>
        </w:rPr>
      </w:pPr>
    </w:p>
    <w:p w14:paraId="018A96FA"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3CCEA9DF" w14:textId="13B34670" w:rsidR="001D15D1" w:rsidRPr="003A6A94" w:rsidRDefault="008A55B5" w:rsidP="001D15D1">
      <w:pPr>
        <w:pStyle w:val="Abstract"/>
        <w:rPr>
          <w:color w:val="000000"/>
        </w:rPr>
      </w:pPr>
      <w:r>
        <w:rPr>
          <w:rFonts w:eastAsia="MS Mincho"/>
          <w:i/>
          <w:iCs/>
        </w:rPr>
        <w:lastRenderedPageBreak/>
        <w:t>Abstract</w:t>
      </w:r>
      <w:r>
        <w:rPr>
          <w:rFonts w:eastAsia="MS Mincho"/>
        </w:rPr>
        <w:t>—</w:t>
      </w:r>
      <w:r w:rsidR="001A5DE9" w:rsidRPr="001A5DE9">
        <w:t xml:space="preserve"> </w:t>
      </w:r>
      <w:r w:rsidR="001D15D1" w:rsidRPr="003A6A94">
        <w:rPr>
          <w:color w:val="000000"/>
        </w:rPr>
        <w:t xml:space="preserve">Power quality </w:t>
      </w:r>
      <w:r w:rsidR="00C50D4B" w:rsidRPr="003A6A94">
        <w:rPr>
          <w:color w:val="000000"/>
        </w:rPr>
        <w:t>can be</w:t>
      </w:r>
      <w:r w:rsidR="001D15D1" w:rsidRPr="003A6A94">
        <w:rPr>
          <w:color w:val="000000"/>
        </w:rPr>
        <w:t xml:space="preserve"> affected</w:t>
      </w:r>
      <w:r w:rsidR="009E67DB">
        <w:rPr>
          <w:color w:val="000000"/>
        </w:rPr>
        <w:t xml:space="preserve"> </w:t>
      </w:r>
      <w:r w:rsidR="009E67DB" w:rsidRPr="009E67DB">
        <w:rPr>
          <w:color w:val="000000"/>
        </w:rPr>
        <w:t xml:space="preserve">by </w:t>
      </w:r>
      <w:r w:rsidR="009E67DB" w:rsidRPr="00601443">
        <w:t xml:space="preserve">various types of renewable energy power plants (REPP) such as photovoltaic power plants, wind power plants, fuel cells, </w:t>
      </w:r>
      <w:proofErr w:type="gramStart"/>
      <w:r w:rsidR="009E67DB" w:rsidRPr="00601443">
        <w:t>solid</w:t>
      </w:r>
      <w:proofErr w:type="gramEnd"/>
      <w:r w:rsidR="009E67DB" w:rsidRPr="00601443">
        <w:t xml:space="preserve"> biomass, biogas or biodiesel power plants. </w:t>
      </w:r>
      <w:r w:rsidR="001D15D1" w:rsidRPr="003A6A94">
        <w:rPr>
          <w:color w:val="000000"/>
        </w:rPr>
        <w:t xml:space="preserve">Various interface technologies by which these power plants are connected to the power grid have </w:t>
      </w:r>
      <w:r w:rsidR="003674BD">
        <w:rPr>
          <w:color w:val="000000"/>
        </w:rPr>
        <w:t xml:space="preserve">a </w:t>
      </w:r>
      <w:r w:rsidR="001D15D1" w:rsidRPr="003A6A94">
        <w:rPr>
          <w:color w:val="000000"/>
        </w:rPr>
        <w:t xml:space="preserve">different impact on the power quality. Potential impacts of particular types of power plants with renewable sources on the power quality are described in detail in </w:t>
      </w:r>
      <w:r w:rsidR="003674BD">
        <w:rPr>
          <w:color w:val="000000"/>
        </w:rPr>
        <w:t xml:space="preserve">the </w:t>
      </w:r>
      <w:r w:rsidR="001D15D1" w:rsidRPr="003A6A94">
        <w:rPr>
          <w:color w:val="000000"/>
        </w:rPr>
        <w:t xml:space="preserve">literature. Their influence on the power quality can be predicted by simulations but the actual impact can be determined only by measuring after construction and connection of the observed power plant. </w:t>
      </w:r>
    </w:p>
    <w:p w14:paraId="5F579A91" w14:textId="44A8F8C1" w:rsidR="00257B75" w:rsidRDefault="001D15D1" w:rsidP="00257B75">
      <w:pPr>
        <w:pStyle w:val="Abstract"/>
        <w:rPr>
          <w:rFonts w:eastAsia="MS Mincho"/>
          <w:color w:val="000000"/>
        </w:rPr>
      </w:pPr>
      <w:r w:rsidRPr="00601443">
        <w:t xml:space="preserve">In this paper, the impacts of </w:t>
      </w:r>
      <w:r w:rsidR="0003640D" w:rsidRPr="00601443">
        <w:t xml:space="preserve">biogas power plants and PV power plants </w:t>
      </w:r>
      <w:r w:rsidRPr="00601443">
        <w:t>on the power quality in distribution network</w:t>
      </w:r>
      <w:r w:rsidR="003A6A94" w:rsidRPr="00601443">
        <w:t xml:space="preserve"> in Eastern Croatia</w:t>
      </w:r>
      <w:r w:rsidRPr="00601443">
        <w:t xml:space="preserve"> are </w:t>
      </w:r>
      <w:r w:rsidR="003A6A94" w:rsidRPr="00601443">
        <w:t>presented and analyzed</w:t>
      </w:r>
      <w:r w:rsidRPr="00601443">
        <w:t>.</w:t>
      </w:r>
      <w:r w:rsidR="00257B75" w:rsidRPr="00601443">
        <w:t xml:space="preserve"> </w:t>
      </w:r>
      <w:r w:rsidR="00257B75" w:rsidRPr="00257B75">
        <w:rPr>
          <w:rFonts w:eastAsia="MS Mincho"/>
          <w:color w:val="000000"/>
        </w:rPr>
        <w:t xml:space="preserve">All the analyzes are based on actual measurements that are performed </w:t>
      </w:r>
      <w:r w:rsidR="00C236A9">
        <w:rPr>
          <w:rFonts w:eastAsia="MS Mincho"/>
          <w:color w:val="000000"/>
        </w:rPr>
        <w:t xml:space="preserve">in the last ten years </w:t>
      </w:r>
      <w:r w:rsidR="00257B75" w:rsidRPr="00257B75">
        <w:rPr>
          <w:rFonts w:eastAsia="MS Mincho"/>
          <w:color w:val="000000"/>
        </w:rPr>
        <w:t>by</w:t>
      </w:r>
      <w:r w:rsidR="00257B75">
        <w:rPr>
          <w:rFonts w:eastAsia="MS Mincho"/>
          <w:color w:val="000000"/>
        </w:rPr>
        <w:t xml:space="preserve"> Laboratory for Electromagnetic Compatibility, </w:t>
      </w:r>
      <w:r w:rsidR="00C236A9">
        <w:rPr>
          <w:rFonts w:eastAsia="MS Mincho"/>
          <w:color w:val="000000"/>
        </w:rPr>
        <w:t xml:space="preserve">Department of Power Engineering, </w:t>
      </w:r>
      <w:r w:rsidR="00257B75">
        <w:rPr>
          <w:rFonts w:eastAsia="MS Mincho"/>
          <w:color w:val="000000"/>
        </w:rPr>
        <w:t>Faculty of Electrical Engineering, Computer Science and Information Technology Osijek</w:t>
      </w:r>
      <w:r w:rsidR="00EF7515">
        <w:rPr>
          <w:rFonts w:eastAsia="MS Mincho"/>
          <w:color w:val="000000"/>
        </w:rPr>
        <w:t xml:space="preserve"> (FERIT).</w:t>
      </w:r>
    </w:p>
    <w:p w14:paraId="3ED187B7" w14:textId="77777777" w:rsidR="008A55B5" w:rsidRDefault="0072064C" w:rsidP="00257B75">
      <w:pPr>
        <w:pStyle w:val="Abstract"/>
        <w:rPr>
          <w:rFonts w:eastAsia="MS Mincho"/>
        </w:rPr>
      </w:pPr>
      <w:r>
        <w:rPr>
          <w:rFonts w:eastAsia="MS Mincho"/>
        </w:rPr>
        <w:t>Keywords—</w:t>
      </w:r>
      <w:r w:rsidR="001A5DE9" w:rsidRPr="001A5DE9">
        <w:t xml:space="preserve"> </w:t>
      </w:r>
      <w:r w:rsidR="001A5DE9">
        <w:t>Distributed Generation</w:t>
      </w:r>
      <w:r w:rsidR="001A5DE9">
        <w:rPr>
          <w:rFonts w:eastAsia="MS Mincho"/>
        </w:rPr>
        <w:t>; Power Quality; Distribution Network; Eastern Croatia</w:t>
      </w:r>
    </w:p>
    <w:p w14:paraId="0750458F" w14:textId="77777777" w:rsidR="008A55B5" w:rsidRDefault="008A55B5" w:rsidP="00CB1404">
      <w:pPr>
        <w:pStyle w:val="Heading1"/>
      </w:pPr>
      <w:r>
        <w:t xml:space="preserve"> Introduction</w:t>
      </w:r>
    </w:p>
    <w:p w14:paraId="2D893CC4" w14:textId="7BD59BFE" w:rsidR="008416FE" w:rsidRPr="003A6A94" w:rsidRDefault="00A84F52" w:rsidP="00BE2E61">
      <w:pPr>
        <w:pStyle w:val="BodyText"/>
        <w:rPr>
          <w:color w:val="000000"/>
        </w:rPr>
      </w:pPr>
      <w:r w:rsidRPr="00A84F52">
        <w:t xml:space="preserve">The number of installed </w:t>
      </w:r>
      <w:r w:rsidR="009E67DB" w:rsidRPr="00601443">
        <w:t>REPP</w:t>
      </w:r>
      <w:r w:rsidRPr="00A84F52">
        <w:t>, as well as other distributed sources, is increasing every day</w:t>
      </w:r>
      <w:r>
        <w:t>.</w:t>
      </w:r>
      <w:r w:rsidR="002866D5" w:rsidRPr="002866D5">
        <w:rPr>
          <w:color w:val="FF0000"/>
        </w:rPr>
        <w:t xml:space="preserve"> </w:t>
      </w:r>
      <w:r w:rsidR="002866D5" w:rsidRPr="003A6A94">
        <w:rPr>
          <w:color w:val="000000"/>
        </w:rPr>
        <w:t xml:space="preserve">According to </w:t>
      </w:r>
      <w:r w:rsidR="005B12C5" w:rsidRPr="003A6A94">
        <w:rPr>
          <w:color w:val="000000"/>
        </w:rPr>
        <w:t>[</w:t>
      </w:r>
      <w:r w:rsidR="00630DB8">
        <w:rPr>
          <w:color w:val="000000"/>
        </w:rPr>
        <w:t>1</w:t>
      </w:r>
      <w:r w:rsidR="005B12C5" w:rsidRPr="003A6A94">
        <w:rPr>
          <w:color w:val="000000"/>
        </w:rPr>
        <w:t>]</w:t>
      </w:r>
      <w:r w:rsidR="002866D5" w:rsidRPr="003A6A94">
        <w:rPr>
          <w:color w:val="000000"/>
        </w:rPr>
        <w:t xml:space="preserve"> total installed capacity of renewable power (excluding large hydropower plants) at the end of 2016 was 921 GW. </w:t>
      </w:r>
      <w:r w:rsidR="00880F7C" w:rsidRPr="003A6A94">
        <w:rPr>
          <w:color w:val="000000"/>
        </w:rPr>
        <w:t>T</w:t>
      </w:r>
      <w:r w:rsidR="0089309D">
        <w:rPr>
          <w:color w:val="000000"/>
        </w:rPr>
        <w:t>he t</w:t>
      </w:r>
      <w:r w:rsidR="005B12C5" w:rsidRPr="003A6A94">
        <w:rPr>
          <w:color w:val="000000"/>
        </w:rPr>
        <w:t xml:space="preserve">otal installed </w:t>
      </w:r>
      <w:r w:rsidR="00880F7C" w:rsidRPr="003A6A94">
        <w:rPr>
          <w:color w:val="000000"/>
        </w:rPr>
        <w:t>capacity of renewable power in 2006 was 207 GW [</w:t>
      </w:r>
      <w:r w:rsidR="00817126">
        <w:rPr>
          <w:color w:val="000000"/>
        </w:rPr>
        <w:t>2</w:t>
      </w:r>
      <w:r w:rsidR="00880F7C" w:rsidRPr="003A6A94">
        <w:rPr>
          <w:color w:val="000000"/>
        </w:rPr>
        <w:t>]. If we compare 2016 with 2006 total installed capacity of renewable power increased 3.41 times in</w:t>
      </w:r>
      <w:r w:rsidR="0089309D">
        <w:rPr>
          <w:color w:val="000000"/>
        </w:rPr>
        <w:t xml:space="preserve"> the</w:t>
      </w:r>
      <w:r w:rsidR="00880F7C" w:rsidRPr="003A6A94">
        <w:rPr>
          <w:color w:val="000000"/>
        </w:rPr>
        <w:t xml:space="preserve"> </w:t>
      </w:r>
      <w:r w:rsidR="008416FE" w:rsidRPr="003A6A94">
        <w:rPr>
          <w:color w:val="000000"/>
        </w:rPr>
        <w:t>10-year</w:t>
      </w:r>
      <w:r w:rsidR="00880F7C" w:rsidRPr="003A6A94">
        <w:rPr>
          <w:color w:val="000000"/>
        </w:rPr>
        <w:t xml:space="preserve"> period. </w:t>
      </w:r>
      <w:r w:rsidRPr="003A6A94">
        <w:rPr>
          <w:color w:val="000000"/>
        </w:rPr>
        <w:t xml:space="preserve"> </w:t>
      </w:r>
      <w:r w:rsidR="008416FE" w:rsidRPr="003A6A94">
        <w:rPr>
          <w:color w:val="000000"/>
        </w:rPr>
        <w:t>In Croatia, at the end of 2015</w:t>
      </w:r>
      <w:r w:rsidR="0089309D">
        <w:rPr>
          <w:color w:val="000000"/>
        </w:rPr>
        <w:t xml:space="preserve"> the</w:t>
      </w:r>
      <w:r w:rsidR="008416FE" w:rsidRPr="003A6A94">
        <w:rPr>
          <w:color w:val="000000"/>
        </w:rPr>
        <w:t xml:space="preserve"> total installed capacity of renewable power was 525.7 MW and generated electricity from renewable power in 2015 was 1135.8 </w:t>
      </w:r>
      <w:proofErr w:type="spellStart"/>
      <w:r w:rsidR="008416FE" w:rsidRPr="003A6A94">
        <w:rPr>
          <w:color w:val="000000"/>
        </w:rPr>
        <w:t>GWh</w:t>
      </w:r>
      <w:proofErr w:type="spellEnd"/>
      <w:r w:rsidR="008451C4" w:rsidRPr="003A6A94">
        <w:rPr>
          <w:color w:val="000000"/>
        </w:rPr>
        <w:t xml:space="preserve"> [</w:t>
      </w:r>
      <w:r w:rsidR="00817126">
        <w:rPr>
          <w:color w:val="000000"/>
        </w:rPr>
        <w:t>3</w:t>
      </w:r>
      <w:r w:rsidR="008451C4" w:rsidRPr="003A6A94">
        <w:rPr>
          <w:color w:val="000000"/>
        </w:rPr>
        <w:t>]. Wind power plants take</w:t>
      </w:r>
      <w:r w:rsidR="0089309D">
        <w:rPr>
          <w:color w:val="000000"/>
        </w:rPr>
        <w:t xml:space="preserve"> the</w:t>
      </w:r>
      <w:r w:rsidR="008451C4" w:rsidRPr="003A6A94">
        <w:rPr>
          <w:color w:val="000000"/>
        </w:rPr>
        <w:t xml:space="preserve"> largest share with 418 MW,</w:t>
      </w:r>
      <w:r w:rsidR="00BE2E61" w:rsidRPr="003A6A94">
        <w:rPr>
          <w:color w:val="000000"/>
        </w:rPr>
        <w:t xml:space="preserve"> then solar power plants (PV) with 47.8 MW, </w:t>
      </w:r>
      <w:r w:rsidR="008451C4" w:rsidRPr="003A6A94">
        <w:rPr>
          <w:color w:val="000000"/>
        </w:rPr>
        <w:t>th</w:t>
      </w:r>
      <w:r w:rsidR="00BE2E61" w:rsidRPr="003A6A94">
        <w:rPr>
          <w:color w:val="000000"/>
        </w:rPr>
        <w:t>e</w:t>
      </w:r>
      <w:r w:rsidR="008451C4" w:rsidRPr="003A6A94">
        <w:rPr>
          <w:color w:val="000000"/>
        </w:rPr>
        <w:t xml:space="preserve">n biogas and </w:t>
      </w:r>
      <w:r w:rsidR="00BE2E61" w:rsidRPr="003A6A94">
        <w:rPr>
          <w:color w:val="000000"/>
        </w:rPr>
        <w:t>biomass</w:t>
      </w:r>
      <w:r w:rsidR="008451C4" w:rsidRPr="003A6A94">
        <w:rPr>
          <w:color w:val="000000"/>
        </w:rPr>
        <w:t xml:space="preserve"> thermal power plants with 27.2 MW</w:t>
      </w:r>
      <w:r w:rsidR="00BE2E61" w:rsidRPr="003A6A94">
        <w:rPr>
          <w:color w:val="000000"/>
        </w:rPr>
        <w:t xml:space="preserve"> and 24.6 MW and then</w:t>
      </w:r>
      <w:r w:rsidR="008451C4" w:rsidRPr="003A6A94">
        <w:rPr>
          <w:color w:val="000000"/>
        </w:rPr>
        <w:t xml:space="preserve"> </w:t>
      </w:r>
      <w:r w:rsidR="00BE2E61" w:rsidRPr="003A6A94">
        <w:rPr>
          <w:color w:val="000000"/>
        </w:rPr>
        <w:t>small hydropower plants with 6.3 MW [</w:t>
      </w:r>
      <w:r w:rsidR="00817126">
        <w:rPr>
          <w:color w:val="000000"/>
        </w:rPr>
        <w:t>3</w:t>
      </w:r>
      <w:r w:rsidR="00BE2E61" w:rsidRPr="003A6A94">
        <w:rPr>
          <w:color w:val="000000"/>
        </w:rPr>
        <w:t>].</w:t>
      </w:r>
      <w:r w:rsidR="008451C4" w:rsidRPr="003A6A94">
        <w:rPr>
          <w:color w:val="000000"/>
        </w:rPr>
        <w:t xml:space="preserve"> </w:t>
      </w:r>
      <w:r w:rsidR="008416FE" w:rsidRPr="003A6A94">
        <w:rPr>
          <w:color w:val="000000"/>
        </w:rPr>
        <w:t xml:space="preserve"> </w:t>
      </w:r>
    </w:p>
    <w:p w14:paraId="04ECFF6D" w14:textId="5BEAF62E" w:rsidR="00A84F52" w:rsidRDefault="00A84F52" w:rsidP="00753F7B">
      <w:pPr>
        <w:pStyle w:val="BodyText"/>
      </w:pPr>
      <w:r w:rsidRPr="00A84F52">
        <w:t xml:space="preserve">Each of the mentioned sources, with regard to the type and technology, contributes to the </w:t>
      </w:r>
      <w:r>
        <w:t>power</w:t>
      </w:r>
      <w:r w:rsidRPr="00A84F52">
        <w:t xml:space="preserve"> quality in the power system. The literature describes in detail the potential impact of certain types and technologies of </w:t>
      </w:r>
      <w:r w:rsidR="009E67DB" w:rsidRPr="00601443">
        <w:t xml:space="preserve">REPP </w:t>
      </w:r>
      <w:r w:rsidRPr="00A84F52">
        <w:t xml:space="preserve">on the </w:t>
      </w:r>
      <w:r>
        <w:t xml:space="preserve">power </w:t>
      </w:r>
      <w:r w:rsidRPr="00A84F52">
        <w:t>quality: photovoltaic power plants, wind power plants, fuel cells, generators and turbines using different propellant fuels (gas, diesel) [</w:t>
      </w:r>
      <w:r w:rsidR="005040D3">
        <w:t>4</w:t>
      </w:r>
      <w:r w:rsidRPr="00A84F52">
        <w:t>,</w:t>
      </w:r>
      <w:r w:rsidR="0025166D">
        <w:t xml:space="preserve"> </w:t>
      </w:r>
      <w:r w:rsidR="005040D3">
        <w:t>5</w:t>
      </w:r>
      <w:r w:rsidRPr="00A84F52">
        <w:t xml:space="preserve">]. However, the impact of a particular power plant </w:t>
      </w:r>
      <w:r w:rsidRPr="00A84F52">
        <w:lastRenderedPageBreak/>
        <w:t xml:space="preserve">depends not only on its technology or type but also depends on the parameters of the power grid at the connection site. Although most of the future power plant's impact on the power grid can be predicted by simulations using modern software packages, the final status confirmation is measurements after the construction of a power plant. Measurements are </w:t>
      </w:r>
      <w:r w:rsidRPr="00601443">
        <w:t xml:space="preserve">performed </w:t>
      </w:r>
      <w:r w:rsidR="009E67DB" w:rsidRPr="00601443">
        <w:t xml:space="preserve">during 7 days before connection and during 7 days after connection </w:t>
      </w:r>
      <w:r w:rsidR="009E67DB">
        <w:t>of the distributed source. T</w:t>
      </w:r>
      <w:r w:rsidRPr="00A84F52">
        <w:t xml:space="preserve">he results are analyzed and compared to the applicable standards and regulations - HRN EN 50160 and </w:t>
      </w:r>
      <w:r>
        <w:t>Croatian Grid Code.</w:t>
      </w:r>
    </w:p>
    <w:p w14:paraId="27733218" w14:textId="33595CDD" w:rsidR="007B4026" w:rsidRDefault="007B4026" w:rsidP="00753F7B">
      <w:pPr>
        <w:pStyle w:val="BodyText"/>
      </w:pPr>
      <w:r>
        <w:t xml:space="preserve">The influence of REPP on power quality of distribution network is described in the second chapter of the paper. The </w:t>
      </w:r>
      <w:r w:rsidR="00166FD7">
        <w:t xml:space="preserve">possible </w:t>
      </w:r>
      <w:r>
        <w:t xml:space="preserve">influences of synchronous machines and electronic converters are </w:t>
      </w:r>
      <w:r w:rsidR="00166FD7">
        <w:t>given in detail. Third chapter contains information about t</w:t>
      </w:r>
      <w:r w:rsidR="00166FD7" w:rsidRPr="00601443">
        <w:t>otal installed capacity in renewable power plants by July 2018 in Eastern Croatia</w:t>
      </w:r>
      <w:r w:rsidR="00166FD7">
        <w:t>, and fourth chapter consists of detail</w:t>
      </w:r>
      <w:r w:rsidR="00F703C0">
        <w:t>ed</w:t>
      </w:r>
      <w:r w:rsidR="00166FD7">
        <w:t xml:space="preserve"> analysis of power quality measurement results during the last 10 years: 9 biogas power plants and 7 photovoltaic power plants.</w:t>
      </w:r>
    </w:p>
    <w:p w14:paraId="130FB25F" w14:textId="6868D2B6" w:rsidR="008A55B5" w:rsidRPr="00601443" w:rsidRDefault="009E67DB" w:rsidP="00A84F52">
      <w:pPr>
        <w:pStyle w:val="Heading1"/>
      </w:pPr>
      <w:r w:rsidRPr="00601443">
        <w:t xml:space="preserve">Influence of REPP on power quality of distribution network </w:t>
      </w:r>
    </w:p>
    <w:p w14:paraId="5C3A9BB6" w14:textId="77777777" w:rsidR="008A55B5" w:rsidRDefault="00A84F52" w:rsidP="00753F7B">
      <w:pPr>
        <w:pStyle w:val="BodyText"/>
      </w:pPr>
      <w:r w:rsidRPr="00A84F52">
        <w:t xml:space="preserve">Although power conversion technology has a certain role in the </w:t>
      </w:r>
      <w:r>
        <w:t xml:space="preserve">power </w:t>
      </w:r>
      <w:r w:rsidRPr="00A84F52">
        <w:t xml:space="preserve">quality (such as wind and sun due to power changes may cause voltage fluctuations), the </w:t>
      </w:r>
      <w:r>
        <w:t xml:space="preserve">power </w:t>
      </w:r>
      <w:r w:rsidRPr="00A84F52">
        <w:t xml:space="preserve">quality is mostly dependent on the interface and </w:t>
      </w:r>
      <w:r>
        <w:t>connection</w:t>
      </w:r>
      <w:r w:rsidRPr="00A84F52">
        <w:t xml:space="preserve"> of the distributed generation and the type of connection with the electric power system, [</w:t>
      </w:r>
      <w:r w:rsidR="00EB1AFE">
        <w:t>4</w:t>
      </w:r>
      <w:r w:rsidRPr="00A84F52">
        <w:t>].</w:t>
      </w:r>
    </w:p>
    <w:p w14:paraId="4F746D9B" w14:textId="4DEB6ED1" w:rsidR="00A84F52" w:rsidRDefault="00A84F52" w:rsidP="00A84F52">
      <w:pPr>
        <w:pStyle w:val="BodyText"/>
      </w:pPr>
      <w:r>
        <w:t>Main types of interface and system connections are synchronous machines, asynchronous (induction) machines and electronic converters.</w:t>
      </w:r>
      <w:r w:rsidR="00F04AA4">
        <w:t xml:space="preserve"> Since there are</w:t>
      </w:r>
      <w:r w:rsidR="005151F3">
        <w:t xml:space="preserve"> no power plants with asynchronous (induction) machines in Eastern Croatia, their influence on the power quality will not be discussed in this paper.</w:t>
      </w:r>
    </w:p>
    <w:p w14:paraId="409DC101" w14:textId="77777777" w:rsidR="008A55B5" w:rsidRPr="00C44F19" w:rsidRDefault="008A55B5" w:rsidP="00EF3A1A">
      <w:pPr>
        <w:pStyle w:val="Heading2"/>
      </w:pPr>
      <w:r w:rsidRPr="00C44F19">
        <w:t xml:space="preserve"> </w:t>
      </w:r>
      <w:r w:rsidR="00A84F52" w:rsidRPr="00C44F19">
        <w:t>Synchronous machines</w:t>
      </w:r>
    </w:p>
    <w:p w14:paraId="7F021A34" w14:textId="6D47A388" w:rsidR="00354FE9" w:rsidRPr="00C44F19" w:rsidRDefault="00354FE9" w:rsidP="00354FE9">
      <w:pPr>
        <w:pStyle w:val="BodyText"/>
      </w:pPr>
      <w:r w:rsidRPr="00C44F19">
        <w:t>Although synchronous machines are well-known technology in the power system, there are some challenges when they are used as distributed sources. Due to their inertia</w:t>
      </w:r>
      <w:r w:rsidR="00F04AA4">
        <w:t>,</w:t>
      </w:r>
      <w:r w:rsidRPr="00C44F19">
        <w:t xml:space="preserve"> they can well tolerate leaps in the system, which is good when they are used as a reserve energy source. In the case of their application as distributed sources, they would be able to easily handle the island operation but also supply short circuit, [4].</w:t>
      </w:r>
    </w:p>
    <w:p w14:paraId="0EB42ABD" w14:textId="70597BAF" w:rsidR="00354FE9" w:rsidRPr="00C44F19" w:rsidRDefault="00354FE9" w:rsidP="00354FE9">
      <w:pPr>
        <w:pStyle w:val="BodyText"/>
      </w:pPr>
      <w:r w:rsidRPr="00C44F19">
        <w:lastRenderedPageBreak/>
        <w:t xml:space="preserve">Synchronous generators usually do not increase the number of voltage dips. The only possible impact is the voltage dip due to the connection of the generator to the grid. This is of concern only for </w:t>
      </w:r>
      <w:r w:rsidR="00F04AA4">
        <w:t xml:space="preserve">a </w:t>
      </w:r>
      <w:r w:rsidRPr="00C44F19">
        <w:t>generation with rotating machine interface, and even in this case, typically a soft starting is used to limit the voltage drop [</w:t>
      </w:r>
      <w:r w:rsidR="009D08D0" w:rsidRPr="00C44F19">
        <w:t>5</w:t>
      </w:r>
      <w:r w:rsidRPr="00C44F19">
        <w:t>].</w:t>
      </w:r>
    </w:p>
    <w:p w14:paraId="75FDA53E" w14:textId="5A6EA7B8" w:rsidR="00354FE9" w:rsidRPr="00C44F19" w:rsidRDefault="00354FE9" w:rsidP="00354FE9">
      <w:pPr>
        <w:pStyle w:val="BodyText"/>
      </w:pPr>
      <w:r w:rsidRPr="00C44F19">
        <w:t xml:space="preserve">The standard way of designing the winding of synchronous machines causes a relatively large third harmonic voltage in </w:t>
      </w:r>
      <w:r w:rsidR="00F04AA4">
        <w:t xml:space="preserve">the </w:t>
      </w:r>
      <w:r w:rsidRPr="00C44F19">
        <w:t>amount of about 10% of the fundamental component, whereas the fifth and seventh harmonic voltages are around 1% [</w:t>
      </w:r>
      <w:r w:rsidR="00C44F19" w:rsidRPr="00C44F19">
        <w:t>6</w:t>
      </w:r>
      <w:r w:rsidRPr="00C44F19">
        <w:t xml:space="preserve">]. By connecting the generator on the grid through </w:t>
      </w:r>
      <w:r w:rsidR="00F04AA4">
        <w:t xml:space="preserve">a </w:t>
      </w:r>
      <w:r w:rsidR="00965D32" w:rsidRPr="00965D32">
        <w:t>delta</w:t>
      </w:r>
      <w:r w:rsidR="00965D32">
        <w:t>-</w:t>
      </w:r>
      <w:r w:rsidR="00965D32" w:rsidRPr="00965D32">
        <w:t>wye</w:t>
      </w:r>
      <w:r w:rsidRPr="00C44F19">
        <w:t xml:space="preserve"> connected transformer, the third harmonic will not be transmitted to the grid. However, if </w:t>
      </w:r>
      <w:r w:rsidR="00F04AA4">
        <w:t xml:space="preserve">the </w:t>
      </w:r>
      <w:r w:rsidRPr="00C44F19">
        <w:t xml:space="preserve">generator is connected directly to the low voltage grid or through </w:t>
      </w:r>
      <w:r w:rsidR="00965D32">
        <w:t>wye-</w:t>
      </w:r>
      <w:r w:rsidR="00965D32" w:rsidRPr="00965D32">
        <w:t>wye</w:t>
      </w:r>
      <w:r w:rsidRPr="00C44F19">
        <w:t xml:space="preserve"> connected transformer, the third harmonic distortion may spread through the system.</w:t>
      </w:r>
      <w:r w:rsidR="00DB7B21">
        <w:t xml:space="preserve"> </w:t>
      </w:r>
      <w:r w:rsidRPr="00C44F19">
        <w:t>Although small distributed sources do not have enough power to regulate the voltage in the system, there is the possibility that the synchronous machine is large in relation to the system's capacity and it is involved in regulating the voltage of the power system. Of course, this contributes to the better power quality in some weak systems. However, these cases should be carefully studied and then carefully aligned with the protection and regulation of the network voltage.</w:t>
      </w:r>
    </w:p>
    <w:p w14:paraId="1EB93F2D" w14:textId="173A1CF3" w:rsidR="00354FE9" w:rsidRPr="00C44F19" w:rsidRDefault="00354FE9" w:rsidP="00354FE9">
      <w:pPr>
        <w:pStyle w:val="BodyText"/>
      </w:pPr>
      <w:r w:rsidRPr="00C44F19">
        <w:t xml:space="preserve">In Croatia, synchronous generators are mostly used in biogas plants and biomass power plants. The main raw materials for propulsion are located near farms (predominantly cow farms) and near the woods, power plants are built in rural areas. </w:t>
      </w:r>
      <w:r w:rsidR="00965D32">
        <w:t>S</w:t>
      </w:r>
      <w:r w:rsidR="00965D32" w:rsidRPr="00C44F19">
        <w:t>ynchronous generators</w:t>
      </w:r>
      <w:r w:rsidR="00965D32">
        <w:t xml:space="preserve"> are commonly connected on middle voltage power network through three</w:t>
      </w:r>
      <w:r w:rsidR="00F04AA4">
        <w:t>-</w:t>
      </w:r>
      <w:r w:rsidR="00965D32">
        <w:t>phase transformers that have delta-</w:t>
      </w:r>
      <w:r w:rsidR="00965D32" w:rsidRPr="00965D32">
        <w:t>wye</w:t>
      </w:r>
      <w:r w:rsidR="00965D32">
        <w:t xml:space="preserve"> </w:t>
      </w:r>
      <w:r w:rsidR="00D6135F">
        <w:t>windings connection.</w:t>
      </w:r>
      <w:r w:rsidR="00965D32">
        <w:t xml:space="preserve"> </w:t>
      </w:r>
      <w:r w:rsidR="00965D32" w:rsidRPr="00C44F19">
        <w:t xml:space="preserve"> </w:t>
      </w:r>
      <w:r w:rsidRPr="00C44F19">
        <w:t>For distribution networks in rural areas it is characteristic that they are "weak", i.e. there is usually no significant consumption. Therefore, with carefully adjusted protection, problems with voltage regulation can be expected - so it is important to keep in mind that the voltage, with the connected power plant, is not too high. So far, this challenge has been solved mainly by</w:t>
      </w:r>
      <w:r w:rsidR="00F04AA4">
        <w:t xml:space="preserve"> the</w:t>
      </w:r>
      <w:r w:rsidRPr="00C44F19">
        <w:t xml:space="preserve"> manual regulating voltage on the transformer. In the normal operation of such power plants, problems with other indicators of the power quality are not expected.</w:t>
      </w:r>
    </w:p>
    <w:p w14:paraId="43B95A5E" w14:textId="77777777" w:rsidR="007B234F" w:rsidRPr="00C44F19" w:rsidRDefault="007B234F" w:rsidP="007B234F">
      <w:pPr>
        <w:pStyle w:val="Heading2"/>
      </w:pPr>
      <w:r w:rsidRPr="00C44F19">
        <w:t>Electronic converters</w:t>
      </w:r>
    </w:p>
    <w:p w14:paraId="3508EABA" w14:textId="120E8FD2" w:rsidR="009D08D0" w:rsidRDefault="00D11B35" w:rsidP="00753F7B">
      <w:pPr>
        <w:pStyle w:val="BodyText"/>
        <w:rPr>
          <w:rFonts w:eastAsia="Times New Roman"/>
          <w:spacing w:val="0"/>
        </w:rPr>
      </w:pPr>
      <w:r w:rsidRPr="00C44F19">
        <w:rPr>
          <w:rFonts w:eastAsia="Times New Roman"/>
          <w:spacing w:val="0"/>
        </w:rPr>
        <w:t xml:space="preserve">All distributed source technology that produces DC or AC power with other than network frequency, must be connected to the power grid via an electronic converter. Although electronic converters have </w:t>
      </w:r>
      <w:r w:rsidR="00F04AA4">
        <w:rPr>
          <w:rFonts w:eastAsia="Times New Roman"/>
          <w:spacing w:val="0"/>
        </w:rPr>
        <w:t xml:space="preserve">an </w:t>
      </w:r>
      <w:r w:rsidRPr="00C44F19">
        <w:rPr>
          <w:rFonts w:eastAsia="Times New Roman"/>
          <w:spacing w:val="0"/>
        </w:rPr>
        <w:t>undeniable influence on the power quality, in the form of higher harmonics current, the newer pulse-width modulation technology brings significant improvements [</w:t>
      </w:r>
      <w:r w:rsidR="005040D3" w:rsidRPr="00C44F19">
        <w:rPr>
          <w:rFonts w:eastAsia="Times New Roman"/>
          <w:spacing w:val="0"/>
        </w:rPr>
        <w:t>4</w:t>
      </w:r>
      <w:r w:rsidRPr="00C44F19">
        <w:rPr>
          <w:rFonts w:eastAsia="Times New Roman"/>
          <w:spacing w:val="0"/>
        </w:rPr>
        <w:t>].</w:t>
      </w:r>
      <w:r w:rsidR="00DB7B21">
        <w:rPr>
          <w:rFonts w:eastAsia="Times New Roman"/>
          <w:spacing w:val="0"/>
        </w:rPr>
        <w:t xml:space="preserve"> </w:t>
      </w:r>
      <w:r w:rsidR="00354FE9" w:rsidRPr="00C44F19">
        <w:rPr>
          <w:rFonts w:eastAsia="Times New Roman"/>
          <w:spacing w:val="0"/>
        </w:rPr>
        <w:t xml:space="preserve">Depending on the type of AC output waveform, the used power topologies can be voltage source converters where controlled AC output is a voltage waveform. Alternatively, current source converters control </w:t>
      </w:r>
      <w:r w:rsidR="00F04AA4">
        <w:rPr>
          <w:rFonts w:eastAsia="Times New Roman"/>
          <w:spacing w:val="0"/>
        </w:rPr>
        <w:t xml:space="preserve">the </w:t>
      </w:r>
      <w:r w:rsidR="00354FE9" w:rsidRPr="00C44F19">
        <w:rPr>
          <w:rFonts w:eastAsia="Times New Roman"/>
          <w:spacing w:val="0"/>
        </w:rPr>
        <w:t>AC output current waveform</w:t>
      </w:r>
      <w:r w:rsidR="006D6763" w:rsidRPr="00C44F19">
        <w:rPr>
          <w:rFonts w:eastAsia="Times New Roman"/>
          <w:spacing w:val="0"/>
        </w:rPr>
        <w:t xml:space="preserve"> </w:t>
      </w:r>
      <w:r w:rsidR="00354FE9" w:rsidRPr="00C44F19">
        <w:rPr>
          <w:rFonts w:eastAsia="Times New Roman"/>
          <w:spacing w:val="0"/>
        </w:rPr>
        <w:t>[</w:t>
      </w:r>
      <w:r w:rsidR="00C44F19" w:rsidRPr="00C44F19">
        <w:rPr>
          <w:rFonts w:eastAsia="Times New Roman"/>
          <w:spacing w:val="0"/>
        </w:rPr>
        <w:t>7</w:t>
      </w:r>
      <w:r w:rsidR="00354FE9" w:rsidRPr="00C44F19">
        <w:rPr>
          <w:rFonts w:eastAsia="Times New Roman"/>
          <w:spacing w:val="0"/>
        </w:rPr>
        <w:t>].</w:t>
      </w:r>
      <w:r w:rsidR="00DB7B21">
        <w:rPr>
          <w:rFonts w:eastAsia="Times New Roman"/>
          <w:spacing w:val="0"/>
        </w:rPr>
        <w:t xml:space="preserve"> </w:t>
      </w:r>
      <w:r w:rsidR="007F6934" w:rsidRPr="00C44F19">
        <w:rPr>
          <w:rFonts w:eastAsia="Times New Roman"/>
          <w:spacing w:val="0"/>
        </w:rPr>
        <w:t>Multilevel converters are used because as the number of levels is higher, the harmonics</w:t>
      </w:r>
      <w:r w:rsidR="006B0CEA">
        <w:rPr>
          <w:rFonts w:eastAsia="Times New Roman"/>
          <w:spacing w:val="0"/>
        </w:rPr>
        <w:t xml:space="preserve"> are lower. </w:t>
      </w:r>
      <w:r w:rsidR="007F6934" w:rsidRPr="00C44F19">
        <w:rPr>
          <w:rFonts w:eastAsia="Times New Roman"/>
          <w:spacing w:val="0"/>
        </w:rPr>
        <w:t xml:space="preserve">The most used multilevel converter topologies are neutral-point clamped (NPC), flying capacitor converter (FC) and cascaded H-bridge converter (CHB). </w:t>
      </w:r>
      <w:r w:rsidR="00B95DBE" w:rsidRPr="00C44F19">
        <w:rPr>
          <w:rFonts w:eastAsia="Times New Roman"/>
          <w:spacing w:val="0"/>
        </w:rPr>
        <w:t>According to [</w:t>
      </w:r>
      <w:r w:rsidR="00C44F19" w:rsidRPr="00C44F19">
        <w:rPr>
          <w:rFonts w:eastAsia="Times New Roman"/>
          <w:spacing w:val="0"/>
        </w:rPr>
        <w:t>8</w:t>
      </w:r>
      <w:r w:rsidR="00B95DBE" w:rsidRPr="00C44F19">
        <w:rPr>
          <w:rFonts w:eastAsia="Times New Roman"/>
          <w:spacing w:val="0"/>
        </w:rPr>
        <w:t>], if these three types of topologies are compared, NPC has the highest</w:t>
      </w:r>
      <w:r w:rsidR="00B95DBE">
        <w:rPr>
          <w:rFonts w:eastAsia="Times New Roman"/>
          <w:spacing w:val="0"/>
        </w:rPr>
        <w:t xml:space="preserve"> efficiency and the lowest total harmonic distortion.</w:t>
      </w:r>
    </w:p>
    <w:p w14:paraId="5233C76C" w14:textId="53B01420" w:rsidR="00D11B35" w:rsidRDefault="0036396F" w:rsidP="00753F7B">
      <w:pPr>
        <w:pStyle w:val="BodyText"/>
      </w:pPr>
      <w:r>
        <w:rPr>
          <w:rFonts w:eastAsia="Times New Roman"/>
          <w:spacing w:val="0"/>
        </w:rPr>
        <w:lastRenderedPageBreak/>
        <w:t xml:space="preserve">In </w:t>
      </w:r>
      <w:r w:rsidR="00F04AA4">
        <w:rPr>
          <w:rFonts w:eastAsia="Times New Roman"/>
          <w:spacing w:val="0"/>
        </w:rPr>
        <w:t xml:space="preserve">the </w:t>
      </w:r>
      <w:r>
        <w:rPr>
          <w:rFonts w:eastAsia="Times New Roman"/>
          <w:spacing w:val="0"/>
        </w:rPr>
        <w:t>case when converters are</w:t>
      </w:r>
      <w:r w:rsidR="009D08D0" w:rsidRPr="009D08D0">
        <w:rPr>
          <w:rFonts w:eastAsia="Times New Roman"/>
          <w:spacing w:val="0"/>
        </w:rPr>
        <w:t xml:space="preserve"> interconnected to the utility, </w:t>
      </w:r>
      <w:r>
        <w:rPr>
          <w:rFonts w:eastAsia="Times New Roman"/>
          <w:spacing w:val="0"/>
        </w:rPr>
        <w:t>they</w:t>
      </w:r>
      <w:r w:rsidR="009D08D0">
        <w:rPr>
          <w:rFonts w:eastAsia="Times New Roman"/>
          <w:spacing w:val="0"/>
        </w:rPr>
        <w:t xml:space="preserve"> basi</w:t>
      </w:r>
      <w:r w:rsidR="009D08D0" w:rsidRPr="009D08D0">
        <w:rPr>
          <w:rFonts w:eastAsia="Times New Roman"/>
          <w:spacing w:val="0"/>
        </w:rPr>
        <w:t xml:space="preserve">cally attempt to </w:t>
      </w:r>
      <w:r>
        <w:rPr>
          <w:rFonts w:eastAsia="Times New Roman"/>
          <w:spacing w:val="0"/>
        </w:rPr>
        <w:t>produce</w:t>
      </w:r>
      <w:r w:rsidR="009D08D0" w:rsidRPr="009D08D0">
        <w:rPr>
          <w:rFonts w:eastAsia="Times New Roman"/>
          <w:spacing w:val="0"/>
        </w:rPr>
        <w:t xml:space="preserve"> a sine-wave current that follows the voltage</w:t>
      </w:r>
      <w:r w:rsidR="009D08D0">
        <w:rPr>
          <w:rFonts w:eastAsia="Times New Roman"/>
          <w:spacing w:val="0"/>
        </w:rPr>
        <w:t xml:space="preserve"> </w:t>
      </w:r>
      <w:r w:rsidR="009D08D0" w:rsidRPr="009D08D0">
        <w:rPr>
          <w:rFonts w:eastAsia="Times New Roman"/>
          <w:spacing w:val="0"/>
        </w:rPr>
        <w:t>waveform.</w:t>
      </w:r>
      <w:r w:rsidR="00B95DBE">
        <w:rPr>
          <w:rFonts w:eastAsia="Times New Roman"/>
          <w:spacing w:val="0"/>
        </w:rPr>
        <w:t xml:space="preserve"> </w:t>
      </w:r>
      <w:r w:rsidR="009D08D0">
        <w:rPr>
          <w:rFonts w:eastAsia="Times New Roman"/>
          <w:spacing w:val="0"/>
        </w:rPr>
        <w:t xml:space="preserve">In this way, power factor equals 1. </w:t>
      </w:r>
      <w:r w:rsidR="009D08D0" w:rsidRPr="009D08D0">
        <w:rPr>
          <w:rFonts w:eastAsia="Times New Roman"/>
          <w:spacing w:val="0"/>
        </w:rPr>
        <w:t xml:space="preserve">The ability of </w:t>
      </w:r>
      <w:r w:rsidR="00D6135F">
        <w:rPr>
          <w:rFonts w:eastAsia="Times New Roman"/>
          <w:spacing w:val="0"/>
        </w:rPr>
        <w:t>converters</w:t>
      </w:r>
      <w:r w:rsidR="009D08D0" w:rsidRPr="009D08D0">
        <w:rPr>
          <w:rFonts w:eastAsia="Times New Roman"/>
          <w:spacing w:val="0"/>
        </w:rPr>
        <w:t xml:space="preserve"> to feed utility-side faults is usually limited by</w:t>
      </w:r>
      <w:r w:rsidR="009D08D0">
        <w:rPr>
          <w:rFonts w:eastAsia="Times New Roman"/>
          <w:spacing w:val="0"/>
        </w:rPr>
        <w:t xml:space="preserve"> </w:t>
      </w:r>
      <w:r w:rsidR="009D08D0" w:rsidRPr="009D08D0">
        <w:rPr>
          <w:rFonts w:eastAsia="Times New Roman"/>
          <w:spacing w:val="0"/>
        </w:rPr>
        <w:t>the maximum current capability of the IGBT switches.</w:t>
      </w:r>
      <w:r w:rsidR="009D08D0">
        <w:rPr>
          <w:rFonts w:eastAsia="Times New Roman"/>
          <w:spacing w:val="0"/>
        </w:rPr>
        <w:t xml:space="preserve"> </w:t>
      </w:r>
      <w:r>
        <w:rPr>
          <w:rFonts w:eastAsia="Times New Roman"/>
          <w:spacing w:val="0"/>
        </w:rPr>
        <w:t>It is</w:t>
      </w:r>
      <w:r w:rsidR="009D08D0" w:rsidRPr="009D08D0">
        <w:rPr>
          <w:rFonts w:eastAsia="Times New Roman"/>
          <w:spacing w:val="0"/>
        </w:rPr>
        <w:t xml:space="preserve"> assume</w:t>
      </w:r>
      <w:r>
        <w:rPr>
          <w:rFonts w:eastAsia="Times New Roman"/>
          <w:spacing w:val="0"/>
        </w:rPr>
        <w:t>d</w:t>
      </w:r>
      <w:r w:rsidR="009D08D0" w:rsidRPr="009D08D0">
        <w:rPr>
          <w:rFonts w:eastAsia="Times New Roman"/>
          <w:spacing w:val="0"/>
        </w:rPr>
        <w:t xml:space="preserve"> that the current will be l</w:t>
      </w:r>
      <w:r w:rsidR="009D08D0">
        <w:rPr>
          <w:rFonts w:eastAsia="Times New Roman"/>
          <w:spacing w:val="0"/>
        </w:rPr>
        <w:t>imited to 2 times the rated out</w:t>
      </w:r>
      <w:r w:rsidR="009D08D0" w:rsidRPr="009D08D0">
        <w:rPr>
          <w:rFonts w:eastAsia="Times New Roman"/>
          <w:spacing w:val="0"/>
        </w:rPr>
        <w:t xml:space="preserve">put of the </w:t>
      </w:r>
      <w:r>
        <w:rPr>
          <w:rFonts w:eastAsia="Times New Roman"/>
          <w:spacing w:val="0"/>
        </w:rPr>
        <w:t>converter</w:t>
      </w:r>
      <w:r w:rsidR="009D08D0" w:rsidRPr="009D08D0">
        <w:rPr>
          <w:rFonts w:eastAsia="Times New Roman"/>
          <w:spacing w:val="0"/>
        </w:rPr>
        <w:t xml:space="preserve">. </w:t>
      </w:r>
      <w:r w:rsidR="009D08D0">
        <w:rPr>
          <w:rFonts w:eastAsia="Times New Roman"/>
          <w:spacing w:val="0"/>
        </w:rPr>
        <w:t>O</w:t>
      </w:r>
      <w:r w:rsidR="009D08D0" w:rsidRPr="009D08D0">
        <w:rPr>
          <w:rFonts w:eastAsia="Times New Roman"/>
          <w:spacing w:val="0"/>
        </w:rPr>
        <w:t>nce the current reaches these values,</w:t>
      </w:r>
      <w:r w:rsidR="009D08D0">
        <w:rPr>
          <w:rFonts w:eastAsia="Times New Roman"/>
          <w:spacing w:val="0"/>
        </w:rPr>
        <w:t xml:space="preserve"> </w:t>
      </w:r>
      <w:r w:rsidR="009D08D0" w:rsidRPr="009D08D0">
        <w:rPr>
          <w:rFonts w:eastAsia="Times New Roman"/>
          <w:spacing w:val="0"/>
        </w:rPr>
        <w:t xml:space="preserve">the inverter will assume a fault </w:t>
      </w:r>
      <w:r w:rsidR="009D08D0">
        <w:rPr>
          <w:rFonts w:eastAsia="Times New Roman"/>
          <w:spacing w:val="0"/>
        </w:rPr>
        <w:t>and stop the operation for a prede</w:t>
      </w:r>
      <w:r w:rsidR="009D08D0" w:rsidRPr="009D08D0">
        <w:rPr>
          <w:rFonts w:eastAsia="Times New Roman"/>
          <w:spacing w:val="0"/>
        </w:rPr>
        <w:t>termined time</w:t>
      </w:r>
      <w:r w:rsidR="009D08D0">
        <w:rPr>
          <w:rFonts w:eastAsia="Times New Roman"/>
          <w:spacing w:val="0"/>
        </w:rPr>
        <w:t xml:space="preserve"> [4]</w:t>
      </w:r>
      <w:r w:rsidR="009D08D0" w:rsidRPr="009D08D0">
        <w:rPr>
          <w:rFonts w:eastAsia="Times New Roman"/>
          <w:spacing w:val="0"/>
        </w:rPr>
        <w:t>.</w:t>
      </w:r>
      <w:r w:rsidR="007F6934">
        <w:rPr>
          <w:rFonts w:eastAsia="Times New Roman"/>
          <w:spacing w:val="0"/>
        </w:rPr>
        <w:t xml:space="preserve"> </w:t>
      </w:r>
      <w:r w:rsidR="00DB7B21">
        <w:rPr>
          <w:rFonts w:eastAsia="Times New Roman"/>
          <w:spacing w:val="0"/>
        </w:rPr>
        <w:t xml:space="preserve"> </w:t>
      </w:r>
      <w:r w:rsidR="00D11B35" w:rsidRPr="00D11B35">
        <w:t>In the photovoltaic power plant, the most important part</w:t>
      </w:r>
      <w:r w:rsidR="00D11B35">
        <w:t>,</w:t>
      </w:r>
      <w:r w:rsidR="00D11B35" w:rsidRPr="00D11B35">
        <w:t xml:space="preserve"> </w:t>
      </w:r>
      <w:r w:rsidR="00D11B35">
        <w:t>considering</w:t>
      </w:r>
      <w:r w:rsidR="00D11B35" w:rsidRPr="00D11B35">
        <w:t xml:space="preserve"> </w:t>
      </w:r>
      <w:r w:rsidR="00D11B35">
        <w:t xml:space="preserve">power </w:t>
      </w:r>
      <w:r w:rsidR="00D11B35" w:rsidRPr="00D11B35">
        <w:t xml:space="preserve">quality is a </w:t>
      </w:r>
      <w:r w:rsidR="00D11B35">
        <w:t>converter</w:t>
      </w:r>
      <w:r w:rsidR="00D11B35" w:rsidRPr="00D11B35">
        <w:t xml:space="preserve"> that converts the </w:t>
      </w:r>
      <w:r w:rsidR="00D11B35">
        <w:t>direct</w:t>
      </w:r>
      <w:r w:rsidR="00D11B35" w:rsidRPr="00D11B35">
        <w:t xml:space="preserve"> current from photovoltaic modules into alternating </w:t>
      </w:r>
      <w:r w:rsidR="00D11B35">
        <w:t xml:space="preserve">current, </w:t>
      </w:r>
      <w:r w:rsidR="00D11B35" w:rsidRPr="00D11B35">
        <w:t>[</w:t>
      </w:r>
      <w:r w:rsidR="00C44F19">
        <w:t>9</w:t>
      </w:r>
      <w:r w:rsidR="00D11B35" w:rsidRPr="00D11B35">
        <w:t xml:space="preserve">]. The </w:t>
      </w:r>
      <w:r w:rsidR="00D11B35">
        <w:t>converter</w:t>
      </w:r>
      <w:r w:rsidR="00D11B35" w:rsidRPr="00D11B35">
        <w:t xml:space="preserve"> has several functions and the first is to control the photo</w:t>
      </w:r>
      <w:r w:rsidR="00D11B35">
        <w:t>voltaic</w:t>
      </w:r>
      <w:r w:rsidR="00D11B35" w:rsidRPr="00D11B35">
        <w:t xml:space="preserve"> </w:t>
      </w:r>
      <w:r w:rsidR="00D11B35">
        <w:t>route</w:t>
      </w:r>
      <w:r w:rsidR="00D11B35" w:rsidRPr="00D11B35">
        <w:t xml:space="preserve">. When the sun rises in the morning, the photovoltaic module is connected to the network. As </w:t>
      </w:r>
      <w:r w:rsidR="00211E4B">
        <w:t>insolation</w:t>
      </w:r>
      <w:r w:rsidR="00D11B35" w:rsidRPr="00D11B35">
        <w:t xml:space="preserve"> and temperature change during the day, the </w:t>
      </w:r>
      <w:r w:rsidR="00D11B35">
        <w:t>converter</w:t>
      </w:r>
      <w:r w:rsidR="00D11B35" w:rsidRPr="00D11B35">
        <w:t xml:space="preserve"> adjusts the current and voltage to maximize the power output from the photovoltaic </w:t>
      </w:r>
      <w:r w:rsidR="000B2CA1">
        <w:t>modules</w:t>
      </w:r>
      <w:r w:rsidR="00D11B35" w:rsidRPr="00D11B35">
        <w:t xml:space="preserve">. At the end of the day, the </w:t>
      </w:r>
      <w:r w:rsidR="00D11B35">
        <w:t>converter</w:t>
      </w:r>
      <w:r w:rsidR="00D11B35" w:rsidRPr="00D11B35">
        <w:t xml:space="preserve"> disconnects the system from the network.</w:t>
      </w:r>
    </w:p>
    <w:p w14:paraId="00593C07" w14:textId="16053771" w:rsidR="00211E4B" w:rsidRDefault="006B0CEA" w:rsidP="00753F7B">
      <w:pPr>
        <w:pStyle w:val="BodyText"/>
      </w:pPr>
      <w:r>
        <w:t>According to [</w:t>
      </w:r>
      <w:r w:rsidR="00906308">
        <w:t>10</w:t>
      </w:r>
      <w:r>
        <w:t>], several low order harmonic amplitudes increase when PV inverter output power decrease. The current THD becomes higher at a low power output level, especially for generated power below 20% of the rated power.</w:t>
      </w:r>
      <w:r w:rsidR="00906308">
        <w:t xml:space="preserve"> It is concluded that DC-link voltage variation due to maximum power point tracking (MPPT) is the major cause of the harmonic amplitude increase.</w:t>
      </w:r>
      <w:r w:rsidR="00DB7B21">
        <w:t xml:space="preserve"> </w:t>
      </w:r>
      <w:r w:rsidR="00211E4B" w:rsidRPr="00211E4B">
        <w:t>According to [</w:t>
      </w:r>
      <w:r w:rsidR="00C44F19">
        <w:t>1</w:t>
      </w:r>
      <w:r w:rsidR="00906308">
        <w:t>1</w:t>
      </w:r>
      <w:r w:rsidR="00211E4B" w:rsidRPr="00211E4B">
        <w:t xml:space="preserve">], measurements show that currents of higher harmonics are injected by the power plant mainly in the morning after the power plant is connected to the grid and in the evening before the </w:t>
      </w:r>
      <w:r w:rsidR="00211E4B">
        <w:t>disconnection</w:t>
      </w:r>
      <w:r w:rsidR="00AA0340">
        <w:t xml:space="preserve"> of the power plant</w:t>
      </w:r>
      <w:r w:rsidR="00211E4B" w:rsidRPr="00211E4B">
        <w:t xml:space="preserve">. The harmonics are also present in times of severe falls in production </w:t>
      </w:r>
      <w:r w:rsidR="00211E4B">
        <w:t>(</w:t>
      </w:r>
      <w:r w:rsidR="00211E4B" w:rsidRPr="00211E4B">
        <w:t xml:space="preserve">changes in sunlight). </w:t>
      </w:r>
    </w:p>
    <w:p w14:paraId="164B2739" w14:textId="77777777" w:rsidR="00D13C9E" w:rsidRDefault="00D13C9E" w:rsidP="00D13C9E">
      <w:pPr>
        <w:pStyle w:val="Heading1"/>
      </w:pPr>
      <w:r>
        <w:t>Renewable Energy Sources in Eastern Croatia</w:t>
      </w:r>
    </w:p>
    <w:p w14:paraId="5C2C777E" w14:textId="2F00AC4B" w:rsidR="00D81FEF" w:rsidRPr="00601443" w:rsidRDefault="00CE450C" w:rsidP="00F22722">
      <w:pPr>
        <w:spacing w:after="120"/>
        <w:ind w:firstLine="284"/>
        <w:jc w:val="both"/>
        <w:rPr>
          <w:rFonts w:eastAsia="MS Mincho"/>
          <w:spacing w:val="-1"/>
        </w:rPr>
      </w:pPr>
      <w:r w:rsidRPr="00601443">
        <w:rPr>
          <w:rFonts w:eastAsia="MS Mincho"/>
          <w:spacing w:val="-1"/>
        </w:rPr>
        <w:t>Eastern Croatia covers five counties: Osijek-Baranya</w:t>
      </w:r>
      <w:r w:rsidR="00846407" w:rsidRPr="00601443">
        <w:rPr>
          <w:rFonts w:eastAsia="MS Mincho"/>
          <w:spacing w:val="-1"/>
        </w:rPr>
        <w:t xml:space="preserve"> (OBŽ)</w:t>
      </w:r>
      <w:r w:rsidRPr="00601443">
        <w:rPr>
          <w:rFonts w:eastAsia="MS Mincho"/>
          <w:spacing w:val="-1"/>
        </w:rPr>
        <w:t xml:space="preserve">, </w:t>
      </w:r>
      <w:proofErr w:type="spellStart"/>
      <w:r w:rsidRPr="00601443">
        <w:rPr>
          <w:rFonts w:eastAsia="MS Mincho"/>
          <w:spacing w:val="-1"/>
        </w:rPr>
        <w:t>Vukovar-Srijem</w:t>
      </w:r>
      <w:proofErr w:type="spellEnd"/>
      <w:r w:rsidR="00846407" w:rsidRPr="00601443">
        <w:rPr>
          <w:rFonts w:eastAsia="MS Mincho"/>
          <w:spacing w:val="-1"/>
        </w:rPr>
        <w:t xml:space="preserve"> (VSŽ)</w:t>
      </w:r>
      <w:r w:rsidRPr="00601443">
        <w:rPr>
          <w:rFonts w:eastAsia="MS Mincho"/>
          <w:spacing w:val="-1"/>
        </w:rPr>
        <w:t xml:space="preserve">, </w:t>
      </w:r>
      <w:proofErr w:type="spellStart"/>
      <w:r w:rsidRPr="00601443">
        <w:rPr>
          <w:rFonts w:eastAsia="MS Mincho"/>
          <w:spacing w:val="-1"/>
        </w:rPr>
        <w:t>Požega</w:t>
      </w:r>
      <w:proofErr w:type="spellEnd"/>
      <w:r w:rsidRPr="00601443">
        <w:rPr>
          <w:rFonts w:eastAsia="MS Mincho"/>
          <w:spacing w:val="-1"/>
        </w:rPr>
        <w:t>- Slavonia</w:t>
      </w:r>
      <w:r w:rsidR="00846407" w:rsidRPr="00601443">
        <w:rPr>
          <w:rFonts w:eastAsia="MS Mincho"/>
          <w:spacing w:val="-1"/>
        </w:rPr>
        <w:t xml:space="preserve"> (PSŽ)</w:t>
      </w:r>
      <w:r w:rsidRPr="00601443">
        <w:rPr>
          <w:rFonts w:eastAsia="MS Mincho"/>
          <w:spacing w:val="-1"/>
        </w:rPr>
        <w:t xml:space="preserve">, </w:t>
      </w:r>
      <w:proofErr w:type="spellStart"/>
      <w:r w:rsidRPr="00601443">
        <w:rPr>
          <w:rFonts w:eastAsia="MS Mincho"/>
          <w:spacing w:val="-1"/>
        </w:rPr>
        <w:t>Virovitica-Podravina</w:t>
      </w:r>
      <w:proofErr w:type="spellEnd"/>
      <w:r w:rsidRPr="00601443">
        <w:rPr>
          <w:rFonts w:eastAsia="MS Mincho"/>
          <w:spacing w:val="-1"/>
        </w:rPr>
        <w:t xml:space="preserve"> </w:t>
      </w:r>
      <w:r w:rsidR="00846407" w:rsidRPr="00601443">
        <w:rPr>
          <w:rFonts w:eastAsia="MS Mincho"/>
          <w:spacing w:val="-1"/>
        </w:rPr>
        <w:t xml:space="preserve">(VPŽ) </w:t>
      </w:r>
      <w:r w:rsidRPr="00601443">
        <w:rPr>
          <w:rFonts w:eastAsia="MS Mincho"/>
          <w:spacing w:val="-1"/>
        </w:rPr>
        <w:t xml:space="preserve">and </w:t>
      </w:r>
      <w:proofErr w:type="spellStart"/>
      <w:r w:rsidRPr="00601443">
        <w:rPr>
          <w:rFonts w:eastAsia="MS Mincho"/>
          <w:spacing w:val="-1"/>
        </w:rPr>
        <w:t>Brod-Posavina</w:t>
      </w:r>
      <w:proofErr w:type="spellEnd"/>
      <w:r w:rsidR="00846407" w:rsidRPr="00601443">
        <w:rPr>
          <w:rFonts w:eastAsia="MS Mincho"/>
          <w:spacing w:val="-1"/>
        </w:rPr>
        <w:t xml:space="preserve"> (BPŽ)</w:t>
      </w:r>
      <w:r w:rsidRPr="00601443">
        <w:rPr>
          <w:rFonts w:eastAsia="MS Mincho"/>
          <w:spacing w:val="-1"/>
        </w:rPr>
        <w:t xml:space="preserve"> County. </w:t>
      </w:r>
      <w:r w:rsidR="00097ABE" w:rsidRPr="00601443">
        <w:rPr>
          <w:rFonts w:eastAsia="MS Mincho"/>
          <w:spacing w:val="-1"/>
        </w:rPr>
        <w:t>Total installed capacity in renewable power plants by July 2018 in Eastern Croatia is 79.42 MW.</w:t>
      </w:r>
      <w:r w:rsidRPr="00601443">
        <w:rPr>
          <w:rFonts w:eastAsia="MS Mincho"/>
          <w:spacing w:val="-1"/>
        </w:rPr>
        <w:t xml:space="preserve"> </w:t>
      </w:r>
      <w:r w:rsidR="00097ABE" w:rsidRPr="00601443">
        <w:rPr>
          <w:rFonts w:eastAsia="MS Mincho"/>
          <w:spacing w:val="-1"/>
        </w:rPr>
        <w:t>Total installed capacity is: in the biomass power plants 28.45 MW, in biogas power plants 23.59 MW, in photovoltaic power plants 14.06 MW, in cogeneration power plants 12.8 MW and in small hydropower plants 0.52 MW, respectively.</w:t>
      </w:r>
    </w:p>
    <w:p w14:paraId="29F4D6E5" w14:textId="0107CF68" w:rsidR="00CE450C" w:rsidRDefault="00C22659" w:rsidP="00D81FEF">
      <w:pPr>
        <w:jc w:val="both"/>
        <w:rPr>
          <w:rFonts w:eastAsia="MS Mincho"/>
          <w:color w:val="FF0000"/>
        </w:rPr>
      </w:pPr>
      <w:r w:rsidRPr="00D81FEF">
        <w:rPr>
          <w:noProof/>
        </w:rPr>
        <w:drawing>
          <wp:inline distT="0" distB="0" distL="0" distR="0" wp14:anchorId="1DB6BA60" wp14:editId="789B5902">
            <wp:extent cx="3177540" cy="1958340"/>
            <wp:effectExtent l="0" t="0" r="3810" b="381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97ABE">
        <w:rPr>
          <w:rFonts w:eastAsia="MS Mincho"/>
          <w:color w:val="FF0000"/>
        </w:rPr>
        <w:t xml:space="preserve">  </w:t>
      </w:r>
    </w:p>
    <w:p w14:paraId="0E0DF15D" w14:textId="59E3633C" w:rsidR="009E67DB" w:rsidRDefault="009E67DB" w:rsidP="009E67DB">
      <w:pPr>
        <w:pStyle w:val="figurecaption"/>
        <w:rPr>
          <w:rFonts w:eastAsia="MS Mincho"/>
        </w:rPr>
      </w:pPr>
      <w:r>
        <w:rPr>
          <w:rFonts w:eastAsia="MS Mincho"/>
        </w:rPr>
        <w:t>Installed capacity of REPP in Eastern Croatia.</w:t>
      </w:r>
    </w:p>
    <w:p w14:paraId="30E4D83F" w14:textId="215C1BA2" w:rsidR="00D13C9E" w:rsidRDefault="006A19B5" w:rsidP="00D13C9E">
      <w:pPr>
        <w:pStyle w:val="Heading1"/>
      </w:pPr>
      <w:r>
        <w:lastRenderedPageBreak/>
        <w:t>Anal</w:t>
      </w:r>
      <w:r w:rsidR="00166FD7">
        <w:t>ysi</w:t>
      </w:r>
      <w:r>
        <w:t xml:space="preserve">s of Power Quality </w:t>
      </w:r>
      <w:r w:rsidR="00D13C9E">
        <w:t xml:space="preserve">Measurement Results </w:t>
      </w:r>
    </w:p>
    <w:p w14:paraId="2F85DB57" w14:textId="552FED2E" w:rsidR="00324B4A" w:rsidRDefault="00324B4A" w:rsidP="00F22722">
      <w:pPr>
        <w:spacing w:after="120"/>
        <w:ind w:firstLine="284"/>
        <w:jc w:val="both"/>
        <w:rPr>
          <w:rFonts w:eastAsia="MS Mincho"/>
        </w:rPr>
      </w:pPr>
      <w:r w:rsidRPr="00324B4A">
        <w:rPr>
          <w:rFonts w:eastAsia="MS Mincho"/>
        </w:rPr>
        <w:t>Power quality measurements are performed according to IEC 61000-4-30 and EN 50160 standards</w:t>
      </w:r>
      <w:r>
        <w:rPr>
          <w:rFonts w:eastAsia="MS Mincho"/>
        </w:rPr>
        <w:t xml:space="preserve">, </w:t>
      </w:r>
      <w:r w:rsidRPr="00324B4A">
        <w:rPr>
          <w:rFonts w:eastAsia="MS Mincho"/>
        </w:rPr>
        <w:t>by power network analyzers, accuracy class A</w:t>
      </w:r>
      <w:r>
        <w:rPr>
          <w:rFonts w:eastAsia="MS Mincho"/>
        </w:rPr>
        <w:t xml:space="preserve">. </w:t>
      </w:r>
      <w:r w:rsidRPr="00324B4A">
        <w:rPr>
          <w:rFonts w:eastAsia="MS Mincho"/>
        </w:rPr>
        <w:t>The results of Power quality measurements are analy</w:t>
      </w:r>
      <w:r w:rsidR="00DD0DD0">
        <w:rPr>
          <w:rFonts w:eastAsia="MS Mincho"/>
        </w:rPr>
        <w:t>zed separately, according to EN </w:t>
      </w:r>
      <w:r w:rsidRPr="00324B4A">
        <w:rPr>
          <w:rFonts w:eastAsia="MS Mincho"/>
        </w:rPr>
        <w:t>50160, and according to Croatian Grid Code.</w:t>
      </w:r>
      <w:r w:rsidR="00DB7B21">
        <w:rPr>
          <w:rFonts w:eastAsia="MS Mincho"/>
        </w:rPr>
        <w:t xml:space="preserve"> </w:t>
      </w:r>
      <w:r w:rsidR="002655DF" w:rsidRPr="002655DF">
        <w:rPr>
          <w:rFonts w:eastAsia="MS Mincho"/>
        </w:rPr>
        <w:t>European standard E</w:t>
      </w:r>
      <w:r w:rsidR="00DD0DD0">
        <w:rPr>
          <w:rFonts w:eastAsia="MS Mincho"/>
        </w:rPr>
        <w:t>N</w:t>
      </w:r>
      <w:r w:rsidR="002655DF" w:rsidRPr="002655DF">
        <w:rPr>
          <w:rFonts w:eastAsia="MS Mincho"/>
        </w:rPr>
        <w:t xml:space="preserve"> 50160 gives the main characteristics of the voltage characteristics, supplied by the public distribution system, at the customer’s supply-terminals. According to this standard, ea</w:t>
      </w:r>
      <w:r w:rsidR="002655DF">
        <w:rPr>
          <w:rFonts w:eastAsia="MS Mincho"/>
        </w:rPr>
        <w:t xml:space="preserve">ch measurement lasts seven days and includes indices: </w:t>
      </w:r>
      <w:r w:rsidR="002655DF" w:rsidRPr="002655DF">
        <w:rPr>
          <w:rFonts w:eastAsia="MS Mincho"/>
        </w:rPr>
        <w:t>voltage dips and interruptions,</w:t>
      </w:r>
      <w:r w:rsidR="002655DF">
        <w:rPr>
          <w:rFonts w:eastAsia="MS Mincho"/>
        </w:rPr>
        <w:t xml:space="preserve"> </w:t>
      </w:r>
      <w:r w:rsidR="002655DF" w:rsidRPr="002655DF">
        <w:rPr>
          <w:rFonts w:eastAsia="MS Mincho"/>
        </w:rPr>
        <w:t xml:space="preserve">harmonics and </w:t>
      </w:r>
      <w:proofErr w:type="spellStart"/>
      <w:r w:rsidR="002655DF" w:rsidRPr="002655DF">
        <w:rPr>
          <w:rFonts w:eastAsia="MS Mincho"/>
        </w:rPr>
        <w:t>interharmonics</w:t>
      </w:r>
      <w:proofErr w:type="spellEnd"/>
      <w:r w:rsidR="002655DF" w:rsidRPr="002655DF">
        <w:rPr>
          <w:rFonts w:eastAsia="MS Mincho"/>
        </w:rPr>
        <w:t>,</w:t>
      </w:r>
      <w:r w:rsidR="002655DF">
        <w:rPr>
          <w:rFonts w:eastAsia="MS Mincho"/>
        </w:rPr>
        <w:t xml:space="preserve"> </w:t>
      </w:r>
      <w:r w:rsidR="002655DF" w:rsidRPr="002655DF">
        <w:rPr>
          <w:rFonts w:eastAsia="MS Mincho"/>
        </w:rPr>
        <w:t xml:space="preserve">temporary </w:t>
      </w:r>
      <w:proofErr w:type="spellStart"/>
      <w:r w:rsidR="002655DF" w:rsidRPr="002655DF">
        <w:rPr>
          <w:rFonts w:eastAsia="MS Mincho"/>
        </w:rPr>
        <w:t>overvoltages</w:t>
      </w:r>
      <w:proofErr w:type="spellEnd"/>
      <w:r w:rsidR="002655DF" w:rsidRPr="002655DF">
        <w:rPr>
          <w:rFonts w:eastAsia="MS Mincho"/>
        </w:rPr>
        <w:t>,</w:t>
      </w:r>
      <w:r w:rsidR="002655DF">
        <w:rPr>
          <w:rFonts w:eastAsia="MS Mincho"/>
        </w:rPr>
        <w:t xml:space="preserve"> </w:t>
      </w:r>
      <w:r w:rsidR="002655DF" w:rsidRPr="002655DF">
        <w:rPr>
          <w:rFonts w:eastAsia="MS Mincho"/>
        </w:rPr>
        <w:t>swells,</w:t>
      </w:r>
      <w:r w:rsidR="002655DF">
        <w:rPr>
          <w:rFonts w:eastAsia="MS Mincho"/>
        </w:rPr>
        <w:t xml:space="preserve"> </w:t>
      </w:r>
      <w:r w:rsidR="002655DF" w:rsidRPr="002655DF">
        <w:rPr>
          <w:rFonts w:eastAsia="MS Mincho"/>
        </w:rPr>
        <w:t xml:space="preserve">transient </w:t>
      </w:r>
      <w:proofErr w:type="spellStart"/>
      <w:r w:rsidR="002655DF" w:rsidRPr="002655DF">
        <w:rPr>
          <w:rFonts w:eastAsia="MS Mincho"/>
        </w:rPr>
        <w:t>overvoltages</w:t>
      </w:r>
      <w:proofErr w:type="spellEnd"/>
      <w:r w:rsidR="002655DF" w:rsidRPr="002655DF">
        <w:rPr>
          <w:rFonts w:eastAsia="MS Mincho"/>
        </w:rPr>
        <w:t>,</w:t>
      </w:r>
      <w:r w:rsidR="002655DF">
        <w:rPr>
          <w:rFonts w:eastAsia="MS Mincho"/>
        </w:rPr>
        <w:t xml:space="preserve"> </w:t>
      </w:r>
      <w:r w:rsidR="002655DF" w:rsidRPr="002655DF">
        <w:rPr>
          <w:rFonts w:eastAsia="MS Mincho"/>
        </w:rPr>
        <w:t>voltage fluctuations,</w:t>
      </w:r>
      <w:r w:rsidR="002655DF">
        <w:rPr>
          <w:rFonts w:eastAsia="MS Mincho"/>
        </w:rPr>
        <w:t xml:space="preserve"> </w:t>
      </w:r>
      <w:r w:rsidR="002655DF" w:rsidRPr="002655DF">
        <w:rPr>
          <w:rFonts w:eastAsia="MS Mincho"/>
        </w:rPr>
        <w:t>voltage unbalance,</w:t>
      </w:r>
      <w:r w:rsidR="002655DF">
        <w:rPr>
          <w:rFonts w:eastAsia="MS Mincho"/>
        </w:rPr>
        <w:t xml:space="preserve"> </w:t>
      </w:r>
      <w:r w:rsidR="002655DF" w:rsidRPr="002655DF">
        <w:rPr>
          <w:rFonts w:eastAsia="MS Mincho"/>
        </w:rPr>
        <w:t>power-frequency variations,</w:t>
      </w:r>
      <w:r w:rsidR="002655DF">
        <w:rPr>
          <w:rFonts w:eastAsia="MS Mincho"/>
        </w:rPr>
        <w:t xml:space="preserve"> </w:t>
      </w:r>
      <w:r w:rsidR="002655DF" w:rsidRPr="002655DF">
        <w:rPr>
          <w:rFonts w:eastAsia="MS Mincho"/>
        </w:rPr>
        <w:t>DC in AC networks,</w:t>
      </w:r>
      <w:r w:rsidR="002655DF">
        <w:rPr>
          <w:rFonts w:eastAsia="MS Mincho"/>
        </w:rPr>
        <w:t xml:space="preserve"> </w:t>
      </w:r>
      <w:r w:rsidR="002655DF" w:rsidRPr="002655DF">
        <w:rPr>
          <w:rFonts w:eastAsia="MS Mincho"/>
        </w:rPr>
        <w:t>Signaling voltages.</w:t>
      </w:r>
      <w:r w:rsidR="00DB7B21">
        <w:rPr>
          <w:rFonts w:eastAsia="MS Mincho"/>
        </w:rPr>
        <w:t xml:space="preserve"> </w:t>
      </w:r>
      <w:r w:rsidR="002655DF" w:rsidRPr="002655DF">
        <w:rPr>
          <w:rFonts w:eastAsia="MS Mincho"/>
        </w:rPr>
        <w:t>Analysis of power quality measurements according to the Croatian Grid Code also include limits for voltage fluctuations and frequency variations, and their limits are similar to those in EN 50160.</w:t>
      </w:r>
      <w:r w:rsidR="002655DF">
        <w:rPr>
          <w:rFonts w:eastAsia="MS Mincho"/>
        </w:rPr>
        <w:t xml:space="preserve"> But it </w:t>
      </w:r>
      <w:r w:rsidR="002655DF" w:rsidRPr="002655DF">
        <w:rPr>
          <w:rFonts w:eastAsia="MS Mincho"/>
        </w:rPr>
        <w:t xml:space="preserve">gives limits for </w:t>
      </w:r>
      <w:r w:rsidR="007E5756">
        <w:rPr>
          <w:rFonts w:eastAsia="MS Mincho"/>
        </w:rPr>
        <w:t xml:space="preserve">the </w:t>
      </w:r>
      <w:r w:rsidR="002655DF" w:rsidRPr="002655DF">
        <w:rPr>
          <w:rFonts w:eastAsia="MS Mincho"/>
        </w:rPr>
        <w:t xml:space="preserve">allowed contribution of </w:t>
      </w:r>
      <w:r w:rsidR="007E5756">
        <w:rPr>
          <w:rFonts w:eastAsia="MS Mincho"/>
        </w:rPr>
        <w:t xml:space="preserve">the </w:t>
      </w:r>
      <w:r w:rsidR="002655DF" w:rsidRPr="002655DF">
        <w:rPr>
          <w:rFonts w:eastAsia="MS Mincho"/>
        </w:rPr>
        <w:t>power plant on distribution network</w:t>
      </w:r>
      <w:r w:rsidR="002655DF">
        <w:rPr>
          <w:rFonts w:eastAsia="MS Mincho"/>
        </w:rPr>
        <w:t xml:space="preserve"> for: </w:t>
      </w:r>
      <w:r w:rsidR="002655DF" w:rsidRPr="002655DF">
        <w:rPr>
          <w:rFonts w:eastAsia="MS Mincho"/>
        </w:rPr>
        <w:t>THD</w:t>
      </w:r>
      <w:r w:rsidR="002655DF" w:rsidRPr="007E5756">
        <w:rPr>
          <w:rFonts w:eastAsia="MS Mincho"/>
          <w:vertAlign w:val="subscript"/>
        </w:rPr>
        <w:t>U</w:t>
      </w:r>
      <w:r w:rsidR="002655DF" w:rsidRPr="002655DF">
        <w:rPr>
          <w:rFonts w:eastAsia="MS Mincho"/>
        </w:rPr>
        <w:t xml:space="preserve"> (Total </w:t>
      </w:r>
      <w:r w:rsidR="001A01C1">
        <w:rPr>
          <w:rFonts w:eastAsia="MS Mincho"/>
        </w:rPr>
        <w:t>Harmonic Distortions of Voltage)</w:t>
      </w:r>
      <w:r w:rsidR="002655DF" w:rsidRPr="002655DF">
        <w:rPr>
          <w:rFonts w:eastAsia="MS Mincho"/>
        </w:rPr>
        <w:t>, flickers and voltage imbalance.</w:t>
      </w:r>
      <w:r w:rsidR="002655DF">
        <w:rPr>
          <w:rFonts w:eastAsia="MS Mincho"/>
        </w:rPr>
        <w:t xml:space="preserve"> B</w:t>
      </w:r>
      <w:r w:rsidR="002655DF" w:rsidRPr="002655DF">
        <w:rPr>
          <w:rFonts w:eastAsia="MS Mincho"/>
        </w:rPr>
        <w:t>ecause of the latest conditions</w:t>
      </w:r>
      <w:r w:rsidR="002655DF">
        <w:rPr>
          <w:rFonts w:eastAsia="MS Mincho"/>
        </w:rPr>
        <w:t xml:space="preserve">, </w:t>
      </w:r>
      <w:r w:rsidR="002655DF" w:rsidRPr="002655DF">
        <w:rPr>
          <w:rFonts w:eastAsia="MS Mincho"/>
        </w:rPr>
        <w:t xml:space="preserve">analysis of power quality measurements before and after the connection of </w:t>
      </w:r>
      <w:r w:rsidR="002655DF">
        <w:rPr>
          <w:rFonts w:eastAsia="MS Mincho"/>
        </w:rPr>
        <w:t>power plants</w:t>
      </w:r>
      <w:r w:rsidR="002655DF" w:rsidRPr="002655DF">
        <w:rPr>
          <w:rFonts w:eastAsia="MS Mincho"/>
        </w:rPr>
        <w:t xml:space="preserve"> on the distribution grid</w:t>
      </w:r>
      <w:r w:rsidR="002655DF">
        <w:rPr>
          <w:rFonts w:eastAsia="MS Mincho"/>
        </w:rPr>
        <w:t xml:space="preserve"> </w:t>
      </w:r>
      <w:r w:rsidR="007E5756">
        <w:rPr>
          <w:rFonts w:eastAsia="MS Mincho"/>
        </w:rPr>
        <w:t>is</w:t>
      </w:r>
      <w:r w:rsidR="002655DF">
        <w:rPr>
          <w:rFonts w:eastAsia="MS Mincho"/>
        </w:rPr>
        <w:t xml:space="preserve"> performed.</w:t>
      </w:r>
    </w:p>
    <w:p w14:paraId="4E5F065E" w14:textId="77777777" w:rsidR="00D13C9E" w:rsidRDefault="00D13C9E" w:rsidP="00D13C9E">
      <w:pPr>
        <w:pStyle w:val="Heading2"/>
        <w:numPr>
          <w:ilvl w:val="1"/>
          <w:numId w:val="4"/>
        </w:numPr>
        <w:tabs>
          <w:tab w:val="clear" w:pos="360"/>
          <w:tab w:val="num" w:pos="288"/>
        </w:tabs>
      </w:pPr>
      <w:r>
        <w:t>Biogas Power Plants</w:t>
      </w:r>
    </w:p>
    <w:p w14:paraId="7B8B95E3" w14:textId="190453D3" w:rsidR="00962327" w:rsidRDefault="00EB6651" w:rsidP="00F22722">
      <w:pPr>
        <w:spacing w:after="120"/>
        <w:ind w:firstLine="284"/>
        <w:jc w:val="both"/>
        <w:rPr>
          <w:rFonts w:eastAsia="MS Mincho"/>
        </w:rPr>
      </w:pPr>
      <w:r>
        <w:rPr>
          <w:rFonts w:eastAsia="MS Mincho"/>
        </w:rPr>
        <w:t xml:space="preserve">During the last 10 years (from 2008) power quality measurements on </w:t>
      </w:r>
      <w:r w:rsidR="00D024C4">
        <w:rPr>
          <w:rFonts w:eastAsia="MS Mincho"/>
        </w:rPr>
        <w:t>9</w:t>
      </w:r>
      <w:r>
        <w:rPr>
          <w:rFonts w:eastAsia="MS Mincho"/>
        </w:rPr>
        <w:t xml:space="preserve"> biogas power plants</w:t>
      </w:r>
      <w:r w:rsidR="00F610F1">
        <w:rPr>
          <w:rFonts w:eastAsia="MS Mincho"/>
        </w:rPr>
        <w:t xml:space="preserve"> in Eastern Croatia</w:t>
      </w:r>
      <w:r>
        <w:rPr>
          <w:rFonts w:eastAsia="MS Mincho"/>
        </w:rPr>
        <w:t xml:space="preserve"> were performed</w:t>
      </w:r>
      <w:r w:rsidR="00EF7515">
        <w:rPr>
          <w:rFonts w:eastAsia="MS Mincho"/>
        </w:rPr>
        <w:t xml:space="preserve"> by FERIT</w:t>
      </w:r>
      <w:r>
        <w:rPr>
          <w:rFonts w:eastAsia="MS Mincho"/>
        </w:rPr>
        <w:t xml:space="preserve">. Table I shows </w:t>
      </w:r>
      <w:r w:rsidR="00324B4A" w:rsidRPr="00324B4A">
        <w:rPr>
          <w:rFonts w:eastAsia="MS Mincho"/>
        </w:rPr>
        <w:t>summarized</w:t>
      </w:r>
      <w:r>
        <w:rPr>
          <w:rFonts w:eastAsia="MS Mincho"/>
        </w:rPr>
        <w:t xml:space="preserve"> measurement results for every power plant, and for each power quality index – voltage variations, voltage events, harmonics, fli</w:t>
      </w:r>
      <w:r w:rsidR="00F610F1">
        <w:rPr>
          <w:rFonts w:eastAsia="MS Mincho"/>
        </w:rPr>
        <w:t>c</w:t>
      </w:r>
      <w:r>
        <w:rPr>
          <w:rFonts w:eastAsia="MS Mincho"/>
        </w:rPr>
        <w:t xml:space="preserve">kers, voltage unbalance and line frequency. Measurements lasting 7 days were performed first before and then after the connection of each biogas power plant. </w:t>
      </w:r>
      <w:r w:rsidR="00F610F1">
        <w:rPr>
          <w:rFonts w:eastAsia="MS Mincho"/>
        </w:rPr>
        <w:t xml:space="preserve">All measurement results showed that power quality indices were in accordance with European </w:t>
      </w:r>
      <w:r w:rsidR="00F610F1">
        <w:rPr>
          <w:rFonts w:eastAsia="MS Mincho"/>
        </w:rPr>
        <w:lastRenderedPageBreak/>
        <w:t>norm EN 50160</w:t>
      </w:r>
      <w:r w:rsidR="00556129">
        <w:rPr>
          <w:rFonts w:eastAsia="MS Mincho"/>
        </w:rPr>
        <w:t xml:space="preserve"> and Croatian Grid Code</w:t>
      </w:r>
      <w:r w:rsidR="00F610F1">
        <w:rPr>
          <w:rFonts w:eastAsia="MS Mincho"/>
        </w:rPr>
        <w:t>. In the Table</w:t>
      </w:r>
      <w:r w:rsidR="00C236A9">
        <w:rPr>
          <w:rFonts w:eastAsia="MS Mincho"/>
        </w:rPr>
        <w:t>s</w:t>
      </w:r>
      <w:r w:rsidR="00F610F1">
        <w:rPr>
          <w:rFonts w:eastAsia="MS Mincho"/>
        </w:rPr>
        <w:t xml:space="preserve"> I</w:t>
      </w:r>
      <w:r w:rsidR="00C236A9">
        <w:rPr>
          <w:rFonts w:eastAsia="MS Mincho"/>
        </w:rPr>
        <w:t xml:space="preserve"> and II</w:t>
      </w:r>
      <w:r w:rsidR="00F610F1">
        <w:rPr>
          <w:rFonts w:eastAsia="MS Mincho"/>
        </w:rPr>
        <w:t>, mark “+” means that t</w:t>
      </w:r>
      <w:r w:rsidR="00F610F1">
        <w:t>he index has been improved after connecting the power plant, and mark “-</w:t>
      </w:r>
      <w:proofErr w:type="gramStart"/>
      <w:r w:rsidR="00F610F1">
        <w:t>“ means</w:t>
      </w:r>
      <w:proofErr w:type="gramEnd"/>
      <w:r w:rsidR="00F610F1">
        <w:t xml:space="preserve"> that t</w:t>
      </w:r>
      <w:r w:rsidR="00F610F1" w:rsidRPr="00F610F1">
        <w:t xml:space="preserve">he index </w:t>
      </w:r>
      <w:r w:rsidR="003631FD">
        <w:t>was</w:t>
      </w:r>
      <w:r w:rsidR="00F610F1" w:rsidRPr="00F610F1">
        <w:t xml:space="preserve"> worse after connecting the power plant</w:t>
      </w:r>
      <w:r w:rsidR="00F610F1">
        <w:t xml:space="preserve">. </w:t>
      </w:r>
      <w:r w:rsidR="007E5756">
        <w:t>A c</w:t>
      </w:r>
      <w:r w:rsidR="00F610F1">
        <w:t xml:space="preserve">ell without a mark means that a certain power quality index was very similar before and after the connection of </w:t>
      </w:r>
      <w:r w:rsidR="007E5756">
        <w:t xml:space="preserve">the </w:t>
      </w:r>
      <w:r w:rsidR="00F610F1">
        <w:t>power plant.</w:t>
      </w:r>
      <w:r w:rsidR="00DB7B21">
        <w:t xml:space="preserve"> </w:t>
      </w:r>
      <w:r w:rsidR="00734F67">
        <w:rPr>
          <w:rFonts w:eastAsia="MS Mincho"/>
        </w:rPr>
        <w:t xml:space="preserve">Table I shows that there were particular </w:t>
      </w:r>
      <w:r w:rsidR="00734F67" w:rsidRPr="003631FD">
        <w:rPr>
          <w:rFonts w:eastAsia="MS Mincho"/>
        </w:rPr>
        <w:t>worsening</w:t>
      </w:r>
      <w:r w:rsidR="00734F67">
        <w:rPr>
          <w:rFonts w:eastAsia="MS Mincho"/>
        </w:rPr>
        <w:t xml:space="preserve"> in 5 power plants: voltage variations were worse in BIO5, voltage events in BIO2, harmonics in BIO3, unbalance in BIO9, and flickers were worse in </w:t>
      </w:r>
      <w:r w:rsidR="00CE051A">
        <w:rPr>
          <w:rFonts w:eastAsia="MS Mincho"/>
        </w:rPr>
        <w:t>BIO2</w:t>
      </w:r>
      <w:r w:rsidR="00734F67">
        <w:rPr>
          <w:rFonts w:eastAsia="MS Mincho"/>
        </w:rPr>
        <w:t xml:space="preserve">, </w:t>
      </w:r>
      <w:r w:rsidR="00CE051A">
        <w:rPr>
          <w:rFonts w:eastAsia="MS Mincho"/>
        </w:rPr>
        <w:t>BIO</w:t>
      </w:r>
      <w:r w:rsidR="00734F67">
        <w:rPr>
          <w:rFonts w:eastAsia="MS Mincho"/>
        </w:rPr>
        <w:t>3</w:t>
      </w:r>
      <w:r w:rsidR="00CE051A">
        <w:rPr>
          <w:rFonts w:eastAsia="MS Mincho"/>
        </w:rPr>
        <w:t>, BIO4</w:t>
      </w:r>
      <w:r w:rsidR="007E5756">
        <w:rPr>
          <w:rFonts w:eastAsia="MS Mincho"/>
        </w:rPr>
        <w:t>,</w:t>
      </w:r>
      <w:r w:rsidR="00734F67">
        <w:rPr>
          <w:rFonts w:eastAsia="MS Mincho"/>
        </w:rPr>
        <w:t xml:space="preserve"> and </w:t>
      </w:r>
      <w:r w:rsidR="00CE051A">
        <w:rPr>
          <w:rFonts w:eastAsia="MS Mincho"/>
        </w:rPr>
        <w:t>BIO9</w:t>
      </w:r>
      <w:r w:rsidR="00734F67">
        <w:rPr>
          <w:rFonts w:eastAsia="MS Mincho"/>
        </w:rPr>
        <w:t>.</w:t>
      </w:r>
      <w:r w:rsidR="00F22722">
        <w:rPr>
          <w:rFonts w:eastAsia="MS Mincho"/>
        </w:rPr>
        <w:t xml:space="preserve"> </w:t>
      </w:r>
      <w:r w:rsidR="00F8369E">
        <w:rPr>
          <w:rFonts w:eastAsia="MS Mincho"/>
        </w:rPr>
        <w:t xml:space="preserve">Slightly higher values of voltage </w:t>
      </w:r>
      <w:r w:rsidR="00C2658A">
        <w:rPr>
          <w:rFonts w:eastAsia="MS Mincho"/>
        </w:rPr>
        <w:t>at the</w:t>
      </w:r>
      <w:r w:rsidR="00F8369E">
        <w:rPr>
          <w:rFonts w:eastAsia="MS Mincho"/>
        </w:rPr>
        <w:t xml:space="preserve"> connection point of BIO5 were recorded only on </w:t>
      </w:r>
      <w:r w:rsidR="007E5756">
        <w:rPr>
          <w:rFonts w:eastAsia="MS Mincho"/>
        </w:rPr>
        <w:t xml:space="preserve">the </w:t>
      </w:r>
      <w:r w:rsidR="00F8369E">
        <w:rPr>
          <w:rFonts w:eastAsia="MS Mincho"/>
        </w:rPr>
        <w:t>first day of measurement week, and after planned network reconfiguration, values were very similar to those before connection of BIO5.</w:t>
      </w:r>
      <w:r w:rsidR="00DB7B21">
        <w:rPr>
          <w:rFonts w:eastAsia="MS Mincho"/>
        </w:rPr>
        <w:t xml:space="preserve"> </w:t>
      </w:r>
      <w:r w:rsidR="00F8369E">
        <w:rPr>
          <w:rFonts w:eastAsia="MS Mincho"/>
        </w:rPr>
        <w:t xml:space="preserve">Although </w:t>
      </w:r>
      <w:r w:rsidR="00C2658A">
        <w:rPr>
          <w:rFonts w:eastAsia="MS Mincho"/>
        </w:rPr>
        <w:t>78 swells and 13 voltage dips were recorded at the connection point of BIO5, all events happened in only two very short periods (in a few minutes). They were</w:t>
      </w:r>
      <w:r w:rsidR="00C2658A" w:rsidRPr="00C2658A">
        <w:rPr>
          <w:rFonts w:eastAsia="MS Mincho"/>
        </w:rPr>
        <w:t xml:space="preserve"> not uniformly distributed over the week</w:t>
      </w:r>
      <w:r w:rsidR="001168F2">
        <w:rPr>
          <w:rFonts w:eastAsia="MS Mincho"/>
        </w:rPr>
        <w:t>, so</w:t>
      </w:r>
      <w:r w:rsidR="00C2658A">
        <w:rPr>
          <w:rFonts w:eastAsia="MS Mincho"/>
        </w:rPr>
        <w:t xml:space="preserve"> </w:t>
      </w:r>
      <w:r w:rsidR="001168F2">
        <w:rPr>
          <w:rFonts w:eastAsia="MS Mincho"/>
        </w:rPr>
        <w:t>o</w:t>
      </w:r>
      <w:r w:rsidR="00C2658A">
        <w:rPr>
          <w:rFonts w:eastAsia="MS Mincho"/>
        </w:rPr>
        <w:t>bviously, they were two isolated voltage instabilities.</w:t>
      </w:r>
      <w:r w:rsidR="00F22722">
        <w:rPr>
          <w:rFonts w:eastAsia="MS Mincho"/>
        </w:rPr>
        <w:t xml:space="preserve"> </w:t>
      </w:r>
      <w:r w:rsidR="00290512">
        <w:rPr>
          <w:rFonts w:eastAsia="MS Mincho"/>
        </w:rPr>
        <w:t>Flickers, as p</w:t>
      </w:r>
      <w:r w:rsidR="00962327">
        <w:rPr>
          <w:rFonts w:eastAsia="MS Mincho"/>
        </w:rPr>
        <w:t>ower quality index</w:t>
      </w:r>
      <w:r w:rsidR="00290512">
        <w:rPr>
          <w:rFonts w:eastAsia="MS Mincho"/>
        </w:rPr>
        <w:t>,</w:t>
      </w:r>
      <w:r w:rsidR="00962327">
        <w:rPr>
          <w:rFonts w:eastAsia="MS Mincho"/>
        </w:rPr>
        <w:t xml:space="preserve"> stands out in Table I: higher flicker values after power plant connection were</w:t>
      </w:r>
      <w:r w:rsidR="00290512">
        <w:rPr>
          <w:rFonts w:eastAsia="MS Mincho"/>
        </w:rPr>
        <w:t xml:space="preserve"> recorded</w:t>
      </w:r>
      <w:r w:rsidR="00962327">
        <w:rPr>
          <w:rFonts w:eastAsia="MS Mincho"/>
        </w:rPr>
        <w:t xml:space="preserve"> in four cases. </w:t>
      </w:r>
    </w:p>
    <w:p w14:paraId="304BED59" w14:textId="77777777" w:rsidR="00D13C9E" w:rsidRPr="002157B5" w:rsidRDefault="00D13C9E" w:rsidP="00D13C9E">
      <w:pPr>
        <w:pStyle w:val="tablehead"/>
        <w:rPr>
          <w:rFonts w:eastAsia="MS Mincho"/>
        </w:rPr>
      </w:pPr>
      <w:r>
        <w:t xml:space="preserve">Results of Power Quality Measurements – Biogas Power Plants </w:t>
      </w:r>
    </w:p>
    <w:tbl>
      <w:tblPr>
        <w:tblW w:w="4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567"/>
        <w:gridCol w:w="567"/>
        <w:gridCol w:w="567"/>
        <w:gridCol w:w="567"/>
        <w:gridCol w:w="567"/>
        <w:gridCol w:w="495"/>
        <w:gridCol w:w="507"/>
      </w:tblGrid>
      <w:tr w:rsidR="00D13C9E" w:rsidRPr="00FC1113" w14:paraId="63BA535A" w14:textId="77777777" w:rsidTr="00DB7B21">
        <w:trPr>
          <w:cantSplit/>
          <w:trHeight w:val="833"/>
          <w:jc w:val="center"/>
        </w:trPr>
        <w:tc>
          <w:tcPr>
            <w:tcW w:w="1065" w:type="dxa"/>
            <w:textDirection w:val="btLr"/>
            <w:vAlign w:val="center"/>
          </w:tcPr>
          <w:p w14:paraId="51369C4C" w14:textId="77777777" w:rsidR="00D13C9E" w:rsidRPr="00FC1113" w:rsidRDefault="00D13C9E" w:rsidP="006B014B">
            <w:pPr>
              <w:ind w:left="113" w:right="113"/>
              <w:rPr>
                <w:sz w:val="15"/>
                <w:szCs w:val="15"/>
                <w:lang w:val="en-GB"/>
              </w:rPr>
            </w:pPr>
            <w:r w:rsidRPr="00FC1113">
              <w:rPr>
                <w:sz w:val="15"/>
                <w:szCs w:val="15"/>
                <w:lang w:val="en-GB"/>
              </w:rPr>
              <w:t>Facility name</w:t>
            </w:r>
          </w:p>
        </w:tc>
        <w:tc>
          <w:tcPr>
            <w:tcW w:w="567" w:type="dxa"/>
            <w:textDirection w:val="btLr"/>
            <w:vAlign w:val="center"/>
          </w:tcPr>
          <w:p w14:paraId="3716EF72" w14:textId="77777777" w:rsidR="00D13C9E" w:rsidRDefault="00D13C9E" w:rsidP="00D024C4">
            <w:pPr>
              <w:tabs>
                <w:tab w:val="left" w:pos="234"/>
              </w:tabs>
              <w:ind w:left="-108"/>
              <w:rPr>
                <w:sz w:val="15"/>
                <w:szCs w:val="15"/>
                <w:lang w:val="en-GB"/>
              </w:rPr>
            </w:pPr>
            <w:r w:rsidRPr="00FC1113">
              <w:rPr>
                <w:sz w:val="15"/>
                <w:szCs w:val="15"/>
                <w:lang w:val="en-GB"/>
              </w:rPr>
              <w:t>Nom. Power</w:t>
            </w:r>
          </w:p>
          <w:p w14:paraId="05ECA81B" w14:textId="77777777" w:rsidR="00D13C9E" w:rsidRPr="00FC1113" w:rsidRDefault="00D13C9E" w:rsidP="00D024C4">
            <w:pPr>
              <w:tabs>
                <w:tab w:val="left" w:pos="234"/>
              </w:tabs>
              <w:ind w:left="-108"/>
              <w:rPr>
                <w:sz w:val="15"/>
                <w:szCs w:val="15"/>
                <w:lang w:val="en-GB"/>
              </w:rPr>
            </w:pPr>
            <w:r>
              <w:rPr>
                <w:sz w:val="15"/>
                <w:szCs w:val="15"/>
                <w:lang w:val="en-GB"/>
              </w:rPr>
              <w:t>[kW]</w:t>
            </w:r>
          </w:p>
        </w:tc>
        <w:tc>
          <w:tcPr>
            <w:tcW w:w="567" w:type="dxa"/>
            <w:textDirection w:val="btLr"/>
            <w:vAlign w:val="center"/>
          </w:tcPr>
          <w:p w14:paraId="62F9D66B" w14:textId="77777777" w:rsidR="00D13C9E" w:rsidRPr="00FC1113" w:rsidRDefault="00D13C9E" w:rsidP="00D024C4">
            <w:pPr>
              <w:ind w:left="113"/>
              <w:rPr>
                <w:sz w:val="15"/>
                <w:szCs w:val="15"/>
                <w:lang w:val="en-GB"/>
              </w:rPr>
            </w:pPr>
            <w:r w:rsidRPr="00FC1113">
              <w:rPr>
                <w:sz w:val="15"/>
                <w:szCs w:val="15"/>
                <w:lang w:val="en-GB"/>
              </w:rPr>
              <w:t>Voltage</w:t>
            </w:r>
          </w:p>
          <w:p w14:paraId="25A3B312" w14:textId="77777777" w:rsidR="00D13C9E" w:rsidRPr="00FC1113" w:rsidRDefault="00D13C9E" w:rsidP="00D024C4">
            <w:pPr>
              <w:ind w:left="113"/>
              <w:rPr>
                <w:sz w:val="15"/>
                <w:szCs w:val="15"/>
                <w:lang w:val="en-GB"/>
              </w:rPr>
            </w:pPr>
            <w:r w:rsidRPr="00FC1113">
              <w:rPr>
                <w:sz w:val="15"/>
                <w:szCs w:val="15"/>
                <w:lang w:val="en-GB"/>
              </w:rPr>
              <w:t>variation</w:t>
            </w:r>
          </w:p>
        </w:tc>
        <w:tc>
          <w:tcPr>
            <w:tcW w:w="567" w:type="dxa"/>
            <w:textDirection w:val="btLr"/>
            <w:vAlign w:val="center"/>
          </w:tcPr>
          <w:p w14:paraId="1419781B" w14:textId="77777777" w:rsidR="00D13C9E" w:rsidRPr="00FC1113" w:rsidRDefault="00D13C9E" w:rsidP="00D024C4">
            <w:pPr>
              <w:ind w:left="113"/>
              <w:rPr>
                <w:sz w:val="15"/>
                <w:szCs w:val="15"/>
                <w:lang w:val="en-GB"/>
              </w:rPr>
            </w:pPr>
            <w:r w:rsidRPr="00FC1113">
              <w:rPr>
                <w:sz w:val="15"/>
                <w:szCs w:val="15"/>
                <w:lang w:val="en-GB"/>
              </w:rPr>
              <w:t>Events</w:t>
            </w:r>
          </w:p>
        </w:tc>
        <w:tc>
          <w:tcPr>
            <w:tcW w:w="567" w:type="dxa"/>
            <w:textDirection w:val="btLr"/>
            <w:vAlign w:val="center"/>
          </w:tcPr>
          <w:p w14:paraId="302170FC" w14:textId="77777777" w:rsidR="00D13C9E" w:rsidRPr="00FC1113" w:rsidRDefault="00D13C9E" w:rsidP="00D024C4">
            <w:pPr>
              <w:ind w:left="113"/>
              <w:rPr>
                <w:sz w:val="15"/>
                <w:szCs w:val="15"/>
                <w:lang w:val="en-GB"/>
              </w:rPr>
            </w:pPr>
            <w:r w:rsidRPr="00FC1113">
              <w:rPr>
                <w:sz w:val="15"/>
                <w:szCs w:val="15"/>
                <w:lang w:val="en-GB"/>
              </w:rPr>
              <w:t>Voltage</w:t>
            </w:r>
          </w:p>
          <w:p w14:paraId="0DF850D6" w14:textId="77777777" w:rsidR="00D13C9E" w:rsidRPr="00FC1113" w:rsidRDefault="00D13C9E" w:rsidP="00D024C4">
            <w:pPr>
              <w:ind w:left="113"/>
              <w:rPr>
                <w:sz w:val="15"/>
                <w:szCs w:val="15"/>
                <w:lang w:val="en-GB"/>
              </w:rPr>
            </w:pPr>
            <w:r w:rsidRPr="00FC1113">
              <w:rPr>
                <w:sz w:val="15"/>
                <w:szCs w:val="15"/>
                <w:lang w:val="en-GB"/>
              </w:rPr>
              <w:t>harmonics</w:t>
            </w:r>
          </w:p>
        </w:tc>
        <w:tc>
          <w:tcPr>
            <w:tcW w:w="567" w:type="dxa"/>
            <w:textDirection w:val="btLr"/>
            <w:vAlign w:val="center"/>
          </w:tcPr>
          <w:p w14:paraId="0A41DAB1" w14:textId="77777777" w:rsidR="00D13C9E" w:rsidRPr="00FC1113" w:rsidRDefault="00D13C9E" w:rsidP="00D024C4">
            <w:pPr>
              <w:ind w:left="113"/>
              <w:rPr>
                <w:sz w:val="15"/>
                <w:szCs w:val="15"/>
                <w:lang w:val="en-GB"/>
              </w:rPr>
            </w:pPr>
            <w:r w:rsidRPr="00FC1113">
              <w:rPr>
                <w:sz w:val="15"/>
                <w:szCs w:val="15"/>
                <w:lang w:val="en-GB"/>
              </w:rPr>
              <w:t>Flicker</w:t>
            </w:r>
          </w:p>
        </w:tc>
        <w:tc>
          <w:tcPr>
            <w:tcW w:w="495" w:type="dxa"/>
            <w:textDirection w:val="btLr"/>
            <w:vAlign w:val="center"/>
          </w:tcPr>
          <w:p w14:paraId="1B6F6D94" w14:textId="77777777" w:rsidR="00D13C9E" w:rsidRPr="00FC1113" w:rsidRDefault="00D13C9E" w:rsidP="00D024C4">
            <w:pPr>
              <w:ind w:left="113"/>
              <w:rPr>
                <w:sz w:val="15"/>
                <w:szCs w:val="15"/>
                <w:lang w:val="en-GB"/>
              </w:rPr>
            </w:pPr>
            <w:r w:rsidRPr="00FC1113">
              <w:rPr>
                <w:sz w:val="15"/>
                <w:szCs w:val="15"/>
                <w:lang w:val="en-GB"/>
              </w:rPr>
              <w:t>Unbalance</w:t>
            </w:r>
          </w:p>
        </w:tc>
        <w:tc>
          <w:tcPr>
            <w:tcW w:w="507" w:type="dxa"/>
            <w:textDirection w:val="btLr"/>
            <w:vAlign w:val="center"/>
          </w:tcPr>
          <w:p w14:paraId="1CCB7FDD" w14:textId="77777777" w:rsidR="00D13C9E" w:rsidRPr="00FC1113" w:rsidRDefault="00D13C9E" w:rsidP="00D024C4">
            <w:pPr>
              <w:ind w:left="113"/>
              <w:rPr>
                <w:sz w:val="15"/>
                <w:szCs w:val="15"/>
                <w:lang w:val="en-GB"/>
              </w:rPr>
            </w:pPr>
            <w:r w:rsidRPr="00FC1113">
              <w:rPr>
                <w:sz w:val="15"/>
                <w:szCs w:val="15"/>
                <w:lang w:val="en-GB"/>
              </w:rPr>
              <w:t>Line</w:t>
            </w:r>
          </w:p>
          <w:p w14:paraId="45F5047F" w14:textId="77777777" w:rsidR="00D13C9E" w:rsidRPr="00FC1113" w:rsidRDefault="00D13C9E" w:rsidP="00D024C4">
            <w:pPr>
              <w:ind w:left="113"/>
              <w:rPr>
                <w:sz w:val="15"/>
                <w:szCs w:val="15"/>
                <w:lang w:val="en-GB"/>
              </w:rPr>
            </w:pPr>
            <w:r w:rsidRPr="00FC1113">
              <w:rPr>
                <w:sz w:val="15"/>
                <w:szCs w:val="15"/>
                <w:lang w:val="en-GB"/>
              </w:rPr>
              <w:t>frequency</w:t>
            </w:r>
          </w:p>
        </w:tc>
      </w:tr>
      <w:tr w:rsidR="00D13C9E" w:rsidRPr="00FC1113" w14:paraId="76C2FA27" w14:textId="77777777" w:rsidTr="00EB0D49">
        <w:trPr>
          <w:jc w:val="center"/>
        </w:trPr>
        <w:tc>
          <w:tcPr>
            <w:tcW w:w="1065" w:type="dxa"/>
            <w:vAlign w:val="center"/>
          </w:tcPr>
          <w:p w14:paraId="7E1C8E04" w14:textId="77777777" w:rsidR="00D13C9E" w:rsidRPr="00D4552F" w:rsidRDefault="003631FD" w:rsidP="006B014B">
            <w:pPr>
              <w:rPr>
                <w:i/>
                <w:color w:val="FF0000"/>
                <w:sz w:val="15"/>
                <w:szCs w:val="15"/>
                <w:lang w:val="en-GB"/>
              </w:rPr>
            </w:pPr>
            <w:r w:rsidRPr="003631FD">
              <w:rPr>
                <w:i/>
                <w:sz w:val="15"/>
                <w:szCs w:val="15"/>
                <w:lang w:val="en-GB"/>
              </w:rPr>
              <w:t>BIO1</w:t>
            </w:r>
          </w:p>
        </w:tc>
        <w:tc>
          <w:tcPr>
            <w:tcW w:w="567" w:type="dxa"/>
            <w:vAlign w:val="center"/>
          </w:tcPr>
          <w:p w14:paraId="288125FE" w14:textId="77777777" w:rsidR="00D13C9E" w:rsidRPr="00ED2F68" w:rsidRDefault="00D13C9E" w:rsidP="006B014B">
            <w:pPr>
              <w:rPr>
                <w:sz w:val="15"/>
                <w:szCs w:val="15"/>
                <w:lang w:val="en-GB"/>
              </w:rPr>
            </w:pPr>
            <w:r w:rsidRPr="00ED2F68">
              <w:rPr>
                <w:sz w:val="15"/>
                <w:szCs w:val="15"/>
                <w:lang w:val="en-GB"/>
              </w:rPr>
              <w:t>1000</w:t>
            </w:r>
          </w:p>
        </w:tc>
        <w:tc>
          <w:tcPr>
            <w:tcW w:w="567" w:type="dxa"/>
            <w:shd w:val="clear" w:color="auto" w:fill="auto"/>
            <w:vAlign w:val="center"/>
          </w:tcPr>
          <w:p w14:paraId="7D9B4288"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485463A0"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687ED3A7"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648AA866"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366B3F20" w14:textId="77777777" w:rsidR="00D13C9E" w:rsidRPr="00ED2F68" w:rsidRDefault="00D13C9E" w:rsidP="006B014B">
            <w:pPr>
              <w:rPr>
                <w:sz w:val="15"/>
                <w:szCs w:val="15"/>
                <w:lang w:val="en-GB"/>
              </w:rPr>
            </w:pPr>
          </w:p>
        </w:tc>
        <w:tc>
          <w:tcPr>
            <w:tcW w:w="507" w:type="dxa"/>
            <w:shd w:val="clear" w:color="auto" w:fill="auto"/>
            <w:vAlign w:val="center"/>
          </w:tcPr>
          <w:p w14:paraId="4B6181F2" w14:textId="77777777" w:rsidR="00D13C9E" w:rsidRPr="00ED2F68" w:rsidRDefault="00D13C9E" w:rsidP="006B014B">
            <w:pPr>
              <w:rPr>
                <w:sz w:val="15"/>
                <w:szCs w:val="15"/>
                <w:lang w:val="en-GB"/>
              </w:rPr>
            </w:pPr>
          </w:p>
        </w:tc>
      </w:tr>
      <w:tr w:rsidR="00D13C9E" w:rsidRPr="00FC1113" w14:paraId="6784E70D" w14:textId="77777777" w:rsidTr="00EB0D49">
        <w:trPr>
          <w:jc w:val="center"/>
        </w:trPr>
        <w:tc>
          <w:tcPr>
            <w:tcW w:w="1065" w:type="dxa"/>
            <w:vAlign w:val="center"/>
          </w:tcPr>
          <w:p w14:paraId="310390D2" w14:textId="77777777" w:rsidR="00D13C9E" w:rsidRPr="00D4552F" w:rsidRDefault="003631FD" w:rsidP="006B014B">
            <w:pPr>
              <w:rPr>
                <w:i/>
                <w:color w:val="FF0000"/>
                <w:sz w:val="15"/>
                <w:szCs w:val="15"/>
                <w:lang w:val="en-GB"/>
              </w:rPr>
            </w:pPr>
            <w:r w:rsidRPr="003631FD">
              <w:rPr>
                <w:i/>
                <w:sz w:val="15"/>
                <w:szCs w:val="15"/>
                <w:lang w:val="en-GB"/>
              </w:rPr>
              <w:t>BIO2</w:t>
            </w:r>
          </w:p>
        </w:tc>
        <w:tc>
          <w:tcPr>
            <w:tcW w:w="567" w:type="dxa"/>
            <w:shd w:val="clear" w:color="auto" w:fill="auto"/>
            <w:vAlign w:val="center"/>
          </w:tcPr>
          <w:p w14:paraId="70D79C6E" w14:textId="77777777" w:rsidR="00D13C9E" w:rsidRPr="00ED2F68" w:rsidRDefault="00D13C9E" w:rsidP="006B014B">
            <w:pPr>
              <w:rPr>
                <w:sz w:val="15"/>
                <w:szCs w:val="15"/>
                <w:lang w:val="en-GB"/>
              </w:rPr>
            </w:pPr>
            <w:r w:rsidRPr="00ED2F68">
              <w:rPr>
                <w:sz w:val="15"/>
                <w:szCs w:val="15"/>
                <w:lang w:val="en-GB"/>
              </w:rPr>
              <w:t>1000</w:t>
            </w:r>
          </w:p>
        </w:tc>
        <w:tc>
          <w:tcPr>
            <w:tcW w:w="567" w:type="dxa"/>
            <w:shd w:val="clear" w:color="auto" w:fill="auto"/>
            <w:vAlign w:val="center"/>
          </w:tcPr>
          <w:p w14:paraId="1A99277E" w14:textId="77777777" w:rsidR="00D13C9E" w:rsidRPr="00ED2F68" w:rsidRDefault="00D13C9E" w:rsidP="006B014B">
            <w:pPr>
              <w:rPr>
                <w:sz w:val="15"/>
                <w:szCs w:val="15"/>
                <w:lang w:val="en-GB"/>
              </w:rPr>
            </w:pPr>
          </w:p>
        </w:tc>
        <w:tc>
          <w:tcPr>
            <w:tcW w:w="567" w:type="dxa"/>
            <w:shd w:val="clear" w:color="auto" w:fill="auto"/>
            <w:vAlign w:val="center"/>
          </w:tcPr>
          <w:p w14:paraId="008CC63F"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339E1E94" w14:textId="77777777" w:rsidR="00D13C9E" w:rsidRPr="00ED2F68" w:rsidRDefault="00D13C9E" w:rsidP="006B014B">
            <w:pPr>
              <w:rPr>
                <w:sz w:val="15"/>
                <w:szCs w:val="15"/>
                <w:lang w:val="en-GB"/>
              </w:rPr>
            </w:pPr>
          </w:p>
        </w:tc>
        <w:tc>
          <w:tcPr>
            <w:tcW w:w="567" w:type="dxa"/>
            <w:shd w:val="clear" w:color="auto" w:fill="auto"/>
            <w:vAlign w:val="center"/>
          </w:tcPr>
          <w:p w14:paraId="5407D661"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4BB81893" w14:textId="77777777" w:rsidR="00D13C9E" w:rsidRPr="00ED2F68" w:rsidRDefault="00D13C9E" w:rsidP="006B014B">
            <w:pPr>
              <w:rPr>
                <w:sz w:val="15"/>
                <w:szCs w:val="15"/>
                <w:lang w:val="en-GB"/>
              </w:rPr>
            </w:pPr>
          </w:p>
        </w:tc>
        <w:tc>
          <w:tcPr>
            <w:tcW w:w="507" w:type="dxa"/>
            <w:shd w:val="clear" w:color="auto" w:fill="auto"/>
            <w:vAlign w:val="center"/>
          </w:tcPr>
          <w:p w14:paraId="70938C93" w14:textId="77777777" w:rsidR="00D13C9E" w:rsidRPr="00ED2F68" w:rsidRDefault="00D13C9E" w:rsidP="006B014B">
            <w:pPr>
              <w:rPr>
                <w:sz w:val="15"/>
                <w:szCs w:val="15"/>
                <w:lang w:val="en-GB"/>
              </w:rPr>
            </w:pPr>
          </w:p>
        </w:tc>
      </w:tr>
      <w:tr w:rsidR="00D13C9E" w:rsidRPr="00FC1113" w14:paraId="29EA232D" w14:textId="77777777" w:rsidTr="00EB0D49">
        <w:trPr>
          <w:jc w:val="center"/>
        </w:trPr>
        <w:tc>
          <w:tcPr>
            <w:tcW w:w="1065" w:type="dxa"/>
            <w:vAlign w:val="center"/>
          </w:tcPr>
          <w:p w14:paraId="70A0BD1B" w14:textId="77777777" w:rsidR="00D13C9E" w:rsidRPr="00D4552F" w:rsidRDefault="003631FD" w:rsidP="006B014B">
            <w:pPr>
              <w:rPr>
                <w:i/>
                <w:color w:val="FF0000"/>
                <w:sz w:val="15"/>
                <w:szCs w:val="15"/>
                <w:lang w:val="en-GB"/>
              </w:rPr>
            </w:pPr>
            <w:r w:rsidRPr="003631FD">
              <w:rPr>
                <w:i/>
                <w:sz w:val="15"/>
                <w:szCs w:val="15"/>
                <w:lang w:val="en-GB"/>
              </w:rPr>
              <w:t>BIO3</w:t>
            </w:r>
          </w:p>
        </w:tc>
        <w:tc>
          <w:tcPr>
            <w:tcW w:w="567" w:type="dxa"/>
            <w:vAlign w:val="center"/>
          </w:tcPr>
          <w:p w14:paraId="6183976A" w14:textId="77777777" w:rsidR="00D13C9E" w:rsidRPr="00ED2F68" w:rsidRDefault="00D13C9E" w:rsidP="006B014B">
            <w:pPr>
              <w:rPr>
                <w:sz w:val="15"/>
                <w:szCs w:val="15"/>
                <w:lang w:val="en-GB"/>
              </w:rPr>
            </w:pPr>
            <w:r w:rsidRPr="00ED2F68">
              <w:rPr>
                <w:sz w:val="15"/>
                <w:szCs w:val="15"/>
                <w:lang w:val="en-GB"/>
              </w:rPr>
              <w:t>300</w:t>
            </w:r>
          </w:p>
        </w:tc>
        <w:tc>
          <w:tcPr>
            <w:tcW w:w="567" w:type="dxa"/>
            <w:shd w:val="clear" w:color="auto" w:fill="auto"/>
            <w:vAlign w:val="center"/>
          </w:tcPr>
          <w:p w14:paraId="105498D9" w14:textId="77777777" w:rsidR="00D13C9E" w:rsidRPr="00ED2F68" w:rsidRDefault="00D13C9E" w:rsidP="006B014B">
            <w:pPr>
              <w:rPr>
                <w:sz w:val="15"/>
                <w:szCs w:val="15"/>
                <w:lang w:val="en-GB"/>
              </w:rPr>
            </w:pPr>
          </w:p>
        </w:tc>
        <w:tc>
          <w:tcPr>
            <w:tcW w:w="567" w:type="dxa"/>
            <w:shd w:val="clear" w:color="auto" w:fill="auto"/>
            <w:vAlign w:val="center"/>
          </w:tcPr>
          <w:p w14:paraId="1878806C"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61E35C90"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6A62FC64"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727980BC" w14:textId="77777777" w:rsidR="00D13C9E" w:rsidRPr="00ED2F68" w:rsidRDefault="00D13C9E" w:rsidP="006B014B">
            <w:pPr>
              <w:rPr>
                <w:sz w:val="15"/>
                <w:szCs w:val="15"/>
                <w:lang w:val="en-GB"/>
              </w:rPr>
            </w:pPr>
          </w:p>
        </w:tc>
        <w:tc>
          <w:tcPr>
            <w:tcW w:w="507" w:type="dxa"/>
            <w:shd w:val="clear" w:color="auto" w:fill="auto"/>
            <w:vAlign w:val="center"/>
          </w:tcPr>
          <w:p w14:paraId="3A4CA887" w14:textId="77777777" w:rsidR="00D13C9E" w:rsidRPr="00ED2F68" w:rsidRDefault="00D13C9E" w:rsidP="006B014B">
            <w:pPr>
              <w:rPr>
                <w:sz w:val="15"/>
                <w:szCs w:val="15"/>
                <w:lang w:val="en-GB"/>
              </w:rPr>
            </w:pPr>
          </w:p>
        </w:tc>
      </w:tr>
      <w:tr w:rsidR="00D13C9E" w:rsidRPr="00FC1113" w14:paraId="2A88171C" w14:textId="77777777" w:rsidTr="00EB0D49">
        <w:trPr>
          <w:jc w:val="center"/>
        </w:trPr>
        <w:tc>
          <w:tcPr>
            <w:tcW w:w="1065" w:type="dxa"/>
            <w:vAlign w:val="center"/>
          </w:tcPr>
          <w:p w14:paraId="165450EA" w14:textId="77777777" w:rsidR="00D13C9E" w:rsidRPr="00D4552F" w:rsidRDefault="003631FD" w:rsidP="006B014B">
            <w:pPr>
              <w:rPr>
                <w:i/>
                <w:color w:val="FF0000"/>
                <w:sz w:val="15"/>
                <w:szCs w:val="15"/>
                <w:lang w:val="en-GB"/>
              </w:rPr>
            </w:pPr>
            <w:r w:rsidRPr="003631FD">
              <w:rPr>
                <w:i/>
                <w:sz w:val="15"/>
                <w:szCs w:val="15"/>
                <w:lang w:val="en-GB"/>
              </w:rPr>
              <w:t>BIO4</w:t>
            </w:r>
          </w:p>
        </w:tc>
        <w:tc>
          <w:tcPr>
            <w:tcW w:w="567" w:type="dxa"/>
            <w:vAlign w:val="center"/>
          </w:tcPr>
          <w:p w14:paraId="3BB0D323" w14:textId="77777777" w:rsidR="00D13C9E" w:rsidRPr="00ED2F68" w:rsidRDefault="00D13C9E" w:rsidP="006B014B">
            <w:pPr>
              <w:rPr>
                <w:sz w:val="15"/>
                <w:szCs w:val="15"/>
                <w:lang w:val="en-GB"/>
              </w:rPr>
            </w:pPr>
            <w:r w:rsidRPr="00ED2F68">
              <w:rPr>
                <w:sz w:val="15"/>
                <w:szCs w:val="15"/>
                <w:lang w:val="en-GB"/>
              </w:rPr>
              <w:t>1400</w:t>
            </w:r>
          </w:p>
        </w:tc>
        <w:tc>
          <w:tcPr>
            <w:tcW w:w="567" w:type="dxa"/>
            <w:shd w:val="clear" w:color="auto" w:fill="auto"/>
            <w:vAlign w:val="center"/>
          </w:tcPr>
          <w:p w14:paraId="09A0AD0D"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741B7C33"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5D789E5F" w14:textId="77777777" w:rsidR="00D13C9E" w:rsidRPr="00ED2F68" w:rsidRDefault="00D13C9E" w:rsidP="006B014B">
            <w:pPr>
              <w:rPr>
                <w:sz w:val="15"/>
                <w:szCs w:val="15"/>
                <w:lang w:val="en-GB"/>
              </w:rPr>
            </w:pPr>
          </w:p>
        </w:tc>
        <w:tc>
          <w:tcPr>
            <w:tcW w:w="567" w:type="dxa"/>
            <w:shd w:val="clear" w:color="auto" w:fill="auto"/>
            <w:vAlign w:val="center"/>
          </w:tcPr>
          <w:p w14:paraId="77608770"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4D38C73A" w14:textId="77777777" w:rsidR="00D13C9E" w:rsidRPr="00ED2F68" w:rsidRDefault="00D13C9E" w:rsidP="006B014B">
            <w:pPr>
              <w:rPr>
                <w:sz w:val="15"/>
                <w:szCs w:val="15"/>
                <w:lang w:val="en-GB"/>
              </w:rPr>
            </w:pPr>
          </w:p>
        </w:tc>
        <w:tc>
          <w:tcPr>
            <w:tcW w:w="507" w:type="dxa"/>
            <w:shd w:val="clear" w:color="auto" w:fill="auto"/>
            <w:vAlign w:val="center"/>
          </w:tcPr>
          <w:p w14:paraId="163FD982" w14:textId="77777777" w:rsidR="00D13C9E" w:rsidRPr="00ED2F68" w:rsidRDefault="00D13C9E" w:rsidP="006B014B">
            <w:pPr>
              <w:rPr>
                <w:sz w:val="15"/>
                <w:szCs w:val="15"/>
                <w:lang w:val="en-GB"/>
              </w:rPr>
            </w:pPr>
          </w:p>
        </w:tc>
      </w:tr>
      <w:tr w:rsidR="00D13C9E" w:rsidRPr="00FC1113" w14:paraId="4ED5C616" w14:textId="77777777" w:rsidTr="00EB0D49">
        <w:trPr>
          <w:jc w:val="center"/>
        </w:trPr>
        <w:tc>
          <w:tcPr>
            <w:tcW w:w="1065" w:type="dxa"/>
            <w:vAlign w:val="center"/>
          </w:tcPr>
          <w:p w14:paraId="41EB6091" w14:textId="77777777" w:rsidR="00D13C9E" w:rsidRPr="00D4552F" w:rsidRDefault="003631FD" w:rsidP="006B014B">
            <w:pPr>
              <w:rPr>
                <w:i/>
                <w:color w:val="FF0000"/>
                <w:sz w:val="15"/>
                <w:szCs w:val="15"/>
                <w:lang w:val="en-GB"/>
              </w:rPr>
            </w:pPr>
            <w:r w:rsidRPr="003631FD">
              <w:rPr>
                <w:i/>
                <w:sz w:val="15"/>
                <w:szCs w:val="15"/>
                <w:lang w:val="en-GB"/>
              </w:rPr>
              <w:t>BIO5</w:t>
            </w:r>
          </w:p>
        </w:tc>
        <w:tc>
          <w:tcPr>
            <w:tcW w:w="567" w:type="dxa"/>
            <w:shd w:val="clear" w:color="auto" w:fill="auto"/>
            <w:vAlign w:val="center"/>
          </w:tcPr>
          <w:p w14:paraId="7DE47AE1" w14:textId="77777777" w:rsidR="00D13C9E" w:rsidRPr="00ED2F68" w:rsidRDefault="00D13C9E" w:rsidP="006B014B">
            <w:pPr>
              <w:rPr>
                <w:sz w:val="15"/>
                <w:szCs w:val="15"/>
                <w:lang w:val="en-GB"/>
              </w:rPr>
            </w:pPr>
            <w:r w:rsidRPr="00ED2F68">
              <w:rPr>
                <w:sz w:val="15"/>
                <w:szCs w:val="15"/>
                <w:lang w:val="en-GB"/>
              </w:rPr>
              <w:t>1700</w:t>
            </w:r>
          </w:p>
        </w:tc>
        <w:tc>
          <w:tcPr>
            <w:tcW w:w="567" w:type="dxa"/>
            <w:shd w:val="clear" w:color="auto" w:fill="auto"/>
            <w:vAlign w:val="center"/>
          </w:tcPr>
          <w:p w14:paraId="414B12A2"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7816A54B"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17D02349"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26E676DF"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726B0A32" w14:textId="77777777" w:rsidR="00D13C9E" w:rsidRPr="00ED2F68" w:rsidRDefault="00D13C9E" w:rsidP="006B014B">
            <w:pPr>
              <w:rPr>
                <w:sz w:val="15"/>
                <w:szCs w:val="15"/>
                <w:lang w:val="en-GB"/>
              </w:rPr>
            </w:pPr>
          </w:p>
        </w:tc>
        <w:tc>
          <w:tcPr>
            <w:tcW w:w="507" w:type="dxa"/>
            <w:shd w:val="clear" w:color="auto" w:fill="auto"/>
            <w:vAlign w:val="center"/>
          </w:tcPr>
          <w:p w14:paraId="0F73216B" w14:textId="77777777" w:rsidR="00D13C9E" w:rsidRPr="00ED2F68" w:rsidRDefault="00D13C9E" w:rsidP="006B014B">
            <w:pPr>
              <w:rPr>
                <w:sz w:val="15"/>
                <w:szCs w:val="15"/>
                <w:lang w:val="en-GB"/>
              </w:rPr>
            </w:pPr>
          </w:p>
        </w:tc>
      </w:tr>
      <w:tr w:rsidR="00D13C9E" w:rsidRPr="00FC1113" w14:paraId="3568C4CB" w14:textId="77777777" w:rsidTr="00EB0D49">
        <w:trPr>
          <w:jc w:val="center"/>
        </w:trPr>
        <w:tc>
          <w:tcPr>
            <w:tcW w:w="1065" w:type="dxa"/>
            <w:vAlign w:val="center"/>
          </w:tcPr>
          <w:p w14:paraId="7A1D0704" w14:textId="77777777" w:rsidR="00D13C9E" w:rsidRPr="00D4552F" w:rsidRDefault="003631FD" w:rsidP="006B014B">
            <w:pPr>
              <w:rPr>
                <w:i/>
                <w:color w:val="FF0000"/>
                <w:sz w:val="15"/>
                <w:szCs w:val="15"/>
                <w:lang w:val="en-GB"/>
              </w:rPr>
            </w:pPr>
            <w:r w:rsidRPr="003631FD">
              <w:rPr>
                <w:i/>
                <w:sz w:val="15"/>
                <w:szCs w:val="15"/>
                <w:lang w:val="en-GB"/>
              </w:rPr>
              <w:t>BIO6</w:t>
            </w:r>
          </w:p>
        </w:tc>
        <w:tc>
          <w:tcPr>
            <w:tcW w:w="567" w:type="dxa"/>
            <w:vAlign w:val="center"/>
          </w:tcPr>
          <w:p w14:paraId="46A31A2A" w14:textId="77777777" w:rsidR="00D13C9E" w:rsidRPr="00ED2F68" w:rsidRDefault="00D024C4" w:rsidP="00D024C4">
            <w:pPr>
              <w:rPr>
                <w:sz w:val="15"/>
                <w:szCs w:val="15"/>
                <w:lang w:val="en-GB"/>
              </w:rPr>
            </w:pPr>
            <w:r>
              <w:rPr>
                <w:sz w:val="15"/>
                <w:szCs w:val="15"/>
                <w:lang w:val="en-GB"/>
              </w:rPr>
              <w:t>1000</w:t>
            </w:r>
          </w:p>
        </w:tc>
        <w:tc>
          <w:tcPr>
            <w:tcW w:w="567" w:type="dxa"/>
            <w:shd w:val="clear" w:color="auto" w:fill="auto"/>
            <w:vAlign w:val="center"/>
          </w:tcPr>
          <w:p w14:paraId="7A2FA4E1"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10D553F6"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6302C088"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7BA11C23"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6EC158C8" w14:textId="77777777" w:rsidR="00D13C9E" w:rsidRPr="00ED2F68" w:rsidRDefault="00D13C9E" w:rsidP="006B014B">
            <w:pPr>
              <w:rPr>
                <w:sz w:val="15"/>
                <w:szCs w:val="15"/>
                <w:lang w:val="en-GB"/>
              </w:rPr>
            </w:pPr>
          </w:p>
        </w:tc>
        <w:tc>
          <w:tcPr>
            <w:tcW w:w="507" w:type="dxa"/>
            <w:shd w:val="clear" w:color="auto" w:fill="auto"/>
            <w:vAlign w:val="center"/>
          </w:tcPr>
          <w:p w14:paraId="0A77EA6B" w14:textId="77777777" w:rsidR="00D13C9E" w:rsidRPr="00ED2F68" w:rsidRDefault="00D13C9E" w:rsidP="006B014B">
            <w:pPr>
              <w:rPr>
                <w:sz w:val="15"/>
                <w:szCs w:val="15"/>
                <w:lang w:val="en-GB"/>
              </w:rPr>
            </w:pPr>
          </w:p>
        </w:tc>
      </w:tr>
      <w:tr w:rsidR="00D024C4" w:rsidRPr="00FC1113" w14:paraId="40B1CF05" w14:textId="77777777" w:rsidTr="00EB0D49">
        <w:trPr>
          <w:jc w:val="center"/>
        </w:trPr>
        <w:tc>
          <w:tcPr>
            <w:tcW w:w="1065" w:type="dxa"/>
            <w:vAlign w:val="center"/>
          </w:tcPr>
          <w:p w14:paraId="0F5262E3" w14:textId="77777777" w:rsidR="00D024C4" w:rsidRPr="00D4552F" w:rsidRDefault="00D024C4" w:rsidP="006B014B">
            <w:pPr>
              <w:rPr>
                <w:i/>
                <w:color w:val="FF0000"/>
                <w:sz w:val="15"/>
                <w:szCs w:val="15"/>
                <w:lang w:val="en-GB"/>
              </w:rPr>
            </w:pPr>
            <w:r>
              <w:rPr>
                <w:i/>
                <w:sz w:val="15"/>
                <w:szCs w:val="15"/>
                <w:lang w:val="en-GB"/>
              </w:rPr>
              <w:t>BIO7</w:t>
            </w:r>
          </w:p>
        </w:tc>
        <w:tc>
          <w:tcPr>
            <w:tcW w:w="567" w:type="dxa"/>
            <w:vAlign w:val="center"/>
          </w:tcPr>
          <w:p w14:paraId="66A84859" w14:textId="77777777" w:rsidR="00D024C4" w:rsidRPr="00ED2F68" w:rsidRDefault="00D024C4" w:rsidP="006B014B">
            <w:pPr>
              <w:rPr>
                <w:sz w:val="15"/>
                <w:szCs w:val="15"/>
                <w:lang w:val="en-GB"/>
              </w:rPr>
            </w:pPr>
            <w:r>
              <w:rPr>
                <w:sz w:val="15"/>
                <w:szCs w:val="15"/>
                <w:lang w:val="en-GB"/>
              </w:rPr>
              <w:t>1000</w:t>
            </w:r>
          </w:p>
        </w:tc>
        <w:tc>
          <w:tcPr>
            <w:tcW w:w="567" w:type="dxa"/>
            <w:shd w:val="clear" w:color="auto" w:fill="auto"/>
            <w:vAlign w:val="center"/>
          </w:tcPr>
          <w:p w14:paraId="60EC6CC6" w14:textId="77777777" w:rsidR="00D024C4" w:rsidRPr="00ED2F68" w:rsidRDefault="00D024C4" w:rsidP="006B014B">
            <w:pPr>
              <w:rPr>
                <w:sz w:val="15"/>
                <w:szCs w:val="15"/>
                <w:lang w:val="en-GB"/>
              </w:rPr>
            </w:pPr>
          </w:p>
        </w:tc>
        <w:tc>
          <w:tcPr>
            <w:tcW w:w="567" w:type="dxa"/>
            <w:shd w:val="clear" w:color="auto" w:fill="auto"/>
            <w:vAlign w:val="center"/>
          </w:tcPr>
          <w:p w14:paraId="6915DE17" w14:textId="77777777" w:rsidR="00D024C4" w:rsidRPr="00ED2F68" w:rsidRDefault="00D024C4" w:rsidP="006B014B">
            <w:pPr>
              <w:rPr>
                <w:sz w:val="15"/>
                <w:szCs w:val="15"/>
                <w:lang w:val="en-GB"/>
              </w:rPr>
            </w:pPr>
          </w:p>
        </w:tc>
        <w:tc>
          <w:tcPr>
            <w:tcW w:w="567" w:type="dxa"/>
            <w:shd w:val="clear" w:color="auto" w:fill="auto"/>
            <w:vAlign w:val="center"/>
          </w:tcPr>
          <w:p w14:paraId="06F6035B" w14:textId="77777777" w:rsidR="00D024C4" w:rsidRPr="00ED2F68" w:rsidRDefault="00D024C4" w:rsidP="006B014B">
            <w:pPr>
              <w:rPr>
                <w:sz w:val="15"/>
                <w:szCs w:val="15"/>
                <w:lang w:val="en-GB"/>
              </w:rPr>
            </w:pPr>
          </w:p>
        </w:tc>
        <w:tc>
          <w:tcPr>
            <w:tcW w:w="567" w:type="dxa"/>
            <w:shd w:val="clear" w:color="auto" w:fill="auto"/>
            <w:vAlign w:val="center"/>
          </w:tcPr>
          <w:p w14:paraId="26EB7C39" w14:textId="77777777" w:rsidR="00D024C4" w:rsidRPr="00ED2F68" w:rsidRDefault="00D024C4" w:rsidP="006B014B">
            <w:pPr>
              <w:rPr>
                <w:sz w:val="15"/>
                <w:szCs w:val="15"/>
                <w:lang w:val="en-GB"/>
              </w:rPr>
            </w:pPr>
          </w:p>
        </w:tc>
        <w:tc>
          <w:tcPr>
            <w:tcW w:w="495" w:type="dxa"/>
            <w:shd w:val="clear" w:color="auto" w:fill="auto"/>
            <w:vAlign w:val="center"/>
          </w:tcPr>
          <w:p w14:paraId="33095918" w14:textId="77777777" w:rsidR="00D024C4" w:rsidRPr="00ED2F68" w:rsidRDefault="00D024C4" w:rsidP="006B014B">
            <w:pPr>
              <w:rPr>
                <w:sz w:val="15"/>
                <w:szCs w:val="15"/>
                <w:lang w:val="en-GB"/>
              </w:rPr>
            </w:pPr>
          </w:p>
        </w:tc>
        <w:tc>
          <w:tcPr>
            <w:tcW w:w="507" w:type="dxa"/>
            <w:shd w:val="clear" w:color="auto" w:fill="auto"/>
            <w:vAlign w:val="center"/>
          </w:tcPr>
          <w:p w14:paraId="08ABC504" w14:textId="77777777" w:rsidR="00D024C4" w:rsidRPr="00ED2F68" w:rsidRDefault="00D024C4" w:rsidP="006B014B">
            <w:pPr>
              <w:rPr>
                <w:sz w:val="15"/>
                <w:szCs w:val="15"/>
                <w:lang w:val="en-GB"/>
              </w:rPr>
            </w:pPr>
          </w:p>
        </w:tc>
      </w:tr>
      <w:tr w:rsidR="00D13C9E" w:rsidRPr="00FC1113" w14:paraId="0FB93FF8" w14:textId="77777777" w:rsidTr="00EB0D49">
        <w:trPr>
          <w:jc w:val="center"/>
        </w:trPr>
        <w:tc>
          <w:tcPr>
            <w:tcW w:w="1065" w:type="dxa"/>
            <w:vAlign w:val="center"/>
          </w:tcPr>
          <w:p w14:paraId="005FBEDF" w14:textId="77777777" w:rsidR="00D13C9E" w:rsidRPr="00D4552F" w:rsidRDefault="003631FD" w:rsidP="00D024C4">
            <w:pPr>
              <w:rPr>
                <w:i/>
                <w:color w:val="FF0000"/>
                <w:sz w:val="15"/>
                <w:szCs w:val="15"/>
                <w:lang w:val="en-GB"/>
              </w:rPr>
            </w:pPr>
            <w:r w:rsidRPr="003631FD">
              <w:rPr>
                <w:i/>
                <w:sz w:val="15"/>
                <w:szCs w:val="15"/>
                <w:lang w:val="en-GB"/>
              </w:rPr>
              <w:t>BIO</w:t>
            </w:r>
            <w:r w:rsidR="00D024C4">
              <w:rPr>
                <w:i/>
                <w:sz w:val="15"/>
                <w:szCs w:val="15"/>
                <w:lang w:val="en-GB"/>
              </w:rPr>
              <w:t>8</w:t>
            </w:r>
          </w:p>
        </w:tc>
        <w:tc>
          <w:tcPr>
            <w:tcW w:w="567" w:type="dxa"/>
            <w:vAlign w:val="center"/>
          </w:tcPr>
          <w:p w14:paraId="742A327F" w14:textId="77777777" w:rsidR="00D13C9E" w:rsidRPr="00ED2F68" w:rsidRDefault="00D13C9E" w:rsidP="006B014B">
            <w:pPr>
              <w:rPr>
                <w:sz w:val="15"/>
                <w:szCs w:val="15"/>
                <w:lang w:val="en-GB"/>
              </w:rPr>
            </w:pPr>
            <w:r w:rsidRPr="00ED2F68">
              <w:rPr>
                <w:sz w:val="15"/>
                <w:szCs w:val="15"/>
                <w:lang w:val="en-GB"/>
              </w:rPr>
              <w:t>1</w:t>
            </w:r>
            <w:r w:rsidR="00734F67">
              <w:rPr>
                <w:sz w:val="15"/>
                <w:szCs w:val="15"/>
                <w:lang w:val="en-GB"/>
              </w:rPr>
              <w:t>000</w:t>
            </w:r>
          </w:p>
        </w:tc>
        <w:tc>
          <w:tcPr>
            <w:tcW w:w="567" w:type="dxa"/>
            <w:shd w:val="clear" w:color="auto" w:fill="auto"/>
            <w:vAlign w:val="center"/>
          </w:tcPr>
          <w:p w14:paraId="11E028E7"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5F8DE408" w14:textId="77777777" w:rsidR="00D13C9E" w:rsidRPr="00ED2F68" w:rsidRDefault="00D13C9E" w:rsidP="006B014B">
            <w:pPr>
              <w:rPr>
                <w:sz w:val="15"/>
                <w:szCs w:val="15"/>
                <w:lang w:val="en-GB"/>
              </w:rPr>
            </w:pPr>
          </w:p>
        </w:tc>
        <w:tc>
          <w:tcPr>
            <w:tcW w:w="567" w:type="dxa"/>
            <w:shd w:val="clear" w:color="auto" w:fill="auto"/>
            <w:vAlign w:val="center"/>
          </w:tcPr>
          <w:p w14:paraId="6171F6FF"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6C1D8AA5"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445CDF5E" w14:textId="77777777" w:rsidR="00D13C9E" w:rsidRPr="00ED2F68" w:rsidRDefault="00D13C9E" w:rsidP="006B014B">
            <w:pPr>
              <w:rPr>
                <w:sz w:val="15"/>
                <w:szCs w:val="15"/>
                <w:lang w:val="en-GB"/>
              </w:rPr>
            </w:pPr>
            <w:r w:rsidRPr="00ED2F68">
              <w:rPr>
                <w:sz w:val="15"/>
                <w:szCs w:val="15"/>
                <w:lang w:val="en-GB"/>
              </w:rPr>
              <w:t>+</w:t>
            </w:r>
          </w:p>
        </w:tc>
        <w:tc>
          <w:tcPr>
            <w:tcW w:w="507" w:type="dxa"/>
            <w:shd w:val="clear" w:color="auto" w:fill="auto"/>
            <w:vAlign w:val="center"/>
          </w:tcPr>
          <w:p w14:paraId="39F1E3B4" w14:textId="77777777" w:rsidR="00D13C9E" w:rsidRPr="00ED2F68" w:rsidRDefault="00D13C9E" w:rsidP="006B014B">
            <w:pPr>
              <w:rPr>
                <w:sz w:val="15"/>
                <w:szCs w:val="15"/>
                <w:lang w:val="en-GB"/>
              </w:rPr>
            </w:pPr>
          </w:p>
        </w:tc>
      </w:tr>
      <w:tr w:rsidR="00D13C9E" w:rsidRPr="00FC1113" w14:paraId="77397142" w14:textId="77777777" w:rsidTr="00EB0D49">
        <w:trPr>
          <w:jc w:val="center"/>
        </w:trPr>
        <w:tc>
          <w:tcPr>
            <w:tcW w:w="1065" w:type="dxa"/>
            <w:vAlign w:val="center"/>
          </w:tcPr>
          <w:p w14:paraId="50D7BCD3" w14:textId="77777777" w:rsidR="00D13C9E" w:rsidRPr="00D4552F" w:rsidRDefault="003631FD" w:rsidP="00D024C4">
            <w:pPr>
              <w:rPr>
                <w:i/>
                <w:color w:val="FF0000"/>
                <w:sz w:val="15"/>
                <w:szCs w:val="15"/>
                <w:lang w:val="en-GB"/>
              </w:rPr>
            </w:pPr>
            <w:r w:rsidRPr="003631FD">
              <w:rPr>
                <w:i/>
                <w:sz w:val="15"/>
                <w:szCs w:val="15"/>
                <w:lang w:val="en-GB"/>
              </w:rPr>
              <w:t>BIO</w:t>
            </w:r>
            <w:r w:rsidR="00D024C4">
              <w:rPr>
                <w:i/>
                <w:sz w:val="15"/>
                <w:szCs w:val="15"/>
                <w:lang w:val="en-GB"/>
              </w:rPr>
              <w:t>9</w:t>
            </w:r>
          </w:p>
        </w:tc>
        <w:tc>
          <w:tcPr>
            <w:tcW w:w="567" w:type="dxa"/>
            <w:vAlign w:val="center"/>
          </w:tcPr>
          <w:p w14:paraId="7F73B92C" w14:textId="77777777" w:rsidR="00D13C9E" w:rsidRPr="00ED2F68" w:rsidRDefault="00D13C9E" w:rsidP="006B014B">
            <w:pPr>
              <w:rPr>
                <w:sz w:val="15"/>
                <w:szCs w:val="15"/>
                <w:lang w:val="en-GB"/>
              </w:rPr>
            </w:pPr>
            <w:r w:rsidRPr="00ED2F68">
              <w:rPr>
                <w:sz w:val="15"/>
                <w:szCs w:val="15"/>
                <w:lang w:val="en-GB"/>
              </w:rPr>
              <w:t>1000</w:t>
            </w:r>
          </w:p>
        </w:tc>
        <w:tc>
          <w:tcPr>
            <w:tcW w:w="567" w:type="dxa"/>
            <w:shd w:val="clear" w:color="auto" w:fill="auto"/>
            <w:vAlign w:val="center"/>
          </w:tcPr>
          <w:p w14:paraId="1593DAFA" w14:textId="77777777" w:rsidR="00D13C9E" w:rsidRPr="00ED2F68" w:rsidRDefault="00D13C9E" w:rsidP="006B014B">
            <w:pPr>
              <w:rPr>
                <w:sz w:val="15"/>
                <w:szCs w:val="15"/>
                <w:lang w:val="en-GB"/>
              </w:rPr>
            </w:pPr>
          </w:p>
        </w:tc>
        <w:tc>
          <w:tcPr>
            <w:tcW w:w="567" w:type="dxa"/>
            <w:shd w:val="clear" w:color="auto" w:fill="auto"/>
            <w:vAlign w:val="center"/>
          </w:tcPr>
          <w:p w14:paraId="64446463" w14:textId="77777777" w:rsidR="00D13C9E" w:rsidRPr="00ED2F68" w:rsidRDefault="00D13C9E" w:rsidP="006B014B">
            <w:pPr>
              <w:rPr>
                <w:sz w:val="15"/>
                <w:szCs w:val="15"/>
                <w:lang w:val="en-GB"/>
              </w:rPr>
            </w:pPr>
          </w:p>
        </w:tc>
        <w:tc>
          <w:tcPr>
            <w:tcW w:w="567" w:type="dxa"/>
            <w:shd w:val="clear" w:color="auto" w:fill="auto"/>
            <w:vAlign w:val="center"/>
          </w:tcPr>
          <w:p w14:paraId="2ECC1351" w14:textId="77777777" w:rsidR="00D13C9E" w:rsidRPr="00ED2F68" w:rsidRDefault="00D13C9E" w:rsidP="006B014B">
            <w:pPr>
              <w:rPr>
                <w:sz w:val="15"/>
                <w:szCs w:val="15"/>
                <w:lang w:val="en-GB"/>
              </w:rPr>
            </w:pPr>
            <w:r w:rsidRPr="00ED2F68">
              <w:rPr>
                <w:sz w:val="15"/>
                <w:szCs w:val="15"/>
                <w:lang w:val="en-GB"/>
              </w:rPr>
              <w:t>+</w:t>
            </w:r>
          </w:p>
        </w:tc>
        <w:tc>
          <w:tcPr>
            <w:tcW w:w="567" w:type="dxa"/>
            <w:shd w:val="clear" w:color="auto" w:fill="auto"/>
            <w:vAlign w:val="center"/>
          </w:tcPr>
          <w:p w14:paraId="660DCCBC" w14:textId="77777777" w:rsidR="00D13C9E" w:rsidRPr="00ED2F68" w:rsidRDefault="00D13C9E" w:rsidP="006B014B">
            <w:pPr>
              <w:rPr>
                <w:sz w:val="15"/>
                <w:szCs w:val="15"/>
                <w:lang w:val="en-GB"/>
              </w:rPr>
            </w:pPr>
            <w:r w:rsidRPr="00ED2F68">
              <w:rPr>
                <w:sz w:val="15"/>
                <w:szCs w:val="15"/>
                <w:lang w:val="en-GB"/>
              </w:rPr>
              <w:t>-</w:t>
            </w:r>
          </w:p>
        </w:tc>
        <w:tc>
          <w:tcPr>
            <w:tcW w:w="495" w:type="dxa"/>
            <w:shd w:val="clear" w:color="auto" w:fill="auto"/>
            <w:vAlign w:val="center"/>
          </w:tcPr>
          <w:p w14:paraId="3A743EFC" w14:textId="77777777" w:rsidR="00D13C9E" w:rsidRPr="00ED2F68" w:rsidRDefault="00D13C9E" w:rsidP="006B014B">
            <w:pPr>
              <w:rPr>
                <w:sz w:val="15"/>
                <w:szCs w:val="15"/>
                <w:lang w:val="en-GB"/>
              </w:rPr>
            </w:pPr>
            <w:r w:rsidRPr="00ED2F68">
              <w:rPr>
                <w:sz w:val="15"/>
                <w:szCs w:val="15"/>
                <w:lang w:val="en-GB"/>
              </w:rPr>
              <w:t>-</w:t>
            </w:r>
          </w:p>
        </w:tc>
        <w:tc>
          <w:tcPr>
            <w:tcW w:w="507" w:type="dxa"/>
            <w:shd w:val="clear" w:color="auto" w:fill="auto"/>
            <w:vAlign w:val="center"/>
          </w:tcPr>
          <w:p w14:paraId="18A11899" w14:textId="77777777" w:rsidR="00D13C9E" w:rsidRPr="00ED2F68" w:rsidRDefault="00D13C9E" w:rsidP="006B014B">
            <w:pPr>
              <w:rPr>
                <w:sz w:val="15"/>
                <w:szCs w:val="15"/>
                <w:lang w:val="en-GB"/>
              </w:rPr>
            </w:pPr>
          </w:p>
        </w:tc>
      </w:tr>
    </w:tbl>
    <w:p w14:paraId="7CA590C3" w14:textId="77777777" w:rsidR="00382557" w:rsidRDefault="00382557" w:rsidP="003B4759">
      <w:pPr>
        <w:ind w:firstLine="284"/>
        <w:jc w:val="both"/>
        <w:sectPr w:rsidR="00382557" w:rsidSect="004445B3">
          <w:type w:val="continuous"/>
          <w:pgSz w:w="11909" w:h="16834" w:code="9"/>
          <w:pgMar w:top="1080" w:right="734" w:bottom="2434" w:left="734" w:header="720" w:footer="720" w:gutter="0"/>
          <w:cols w:num="2" w:space="360"/>
          <w:docGrid w:linePitch="360"/>
        </w:sectPr>
      </w:pPr>
    </w:p>
    <w:p w14:paraId="466E6539" w14:textId="106D5611" w:rsidR="00062001" w:rsidRDefault="00C22659" w:rsidP="00062001">
      <w:r>
        <w:rPr>
          <w:noProof/>
        </w:rPr>
        <w:lastRenderedPageBreak/>
        <w:drawing>
          <wp:inline distT="0" distB="0" distL="0" distR="0" wp14:anchorId="0618C37B" wp14:editId="140CED52">
            <wp:extent cx="5734050" cy="2873967"/>
            <wp:effectExtent l="0" t="0" r="0" b="3175"/>
            <wp:docPr id="2" name="Picture 2" descr="Hr2Ps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2PstIma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3291" cy="2888623"/>
                    </a:xfrm>
                    <a:prstGeom prst="rect">
                      <a:avLst/>
                    </a:prstGeom>
                    <a:noFill/>
                    <a:ln>
                      <a:noFill/>
                    </a:ln>
                  </pic:spPr>
                </pic:pic>
              </a:graphicData>
            </a:graphic>
          </wp:inline>
        </w:drawing>
      </w:r>
    </w:p>
    <w:p w14:paraId="142E2270" w14:textId="700812BA" w:rsidR="00062001" w:rsidRDefault="00446F7D" w:rsidP="00062001">
      <w:pPr>
        <w:pStyle w:val="figurecaption"/>
        <w:rPr>
          <w:rFonts w:eastAsia="MS Mincho"/>
        </w:rPr>
      </w:pPr>
      <w:r>
        <w:rPr>
          <w:rFonts w:eastAsia="MS Mincho"/>
        </w:rPr>
        <w:t>Short</w:t>
      </w:r>
      <w:r w:rsidR="00062001">
        <w:rPr>
          <w:rFonts w:eastAsia="MS Mincho"/>
        </w:rPr>
        <w:t xml:space="preserve"> term flickers </w:t>
      </w:r>
      <w:r w:rsidR="00062001" w:rsidRPr="001A01C1">
        <w:rPr>
          <w:rFonts w:eastAsia="MS Mincho"/>
          <w:i/>
        </w:rPr>
        <w:t>P</w:t>
      </w:r>
      <w:r>
        <w:rPr>
          <w:rFonts w:eastAsia="MS Mincho"/>
          <w:vertAlign w:val="subscript"/>
        </w:rPr>
        <w:t>s</w:t>
      </w:r>
      <w:r w:rsidR="00062001">
        <w:rPr>
          <w:rFonts w:eastAsia="MS Mincho"/>
          <w:vertAlign w:val="subscript"/>
        </w:rPr>
        <w:t>t</w:t>
      </w:r>
      <w:r w:rsidR="00062001">
        <w:rPr>
          <w:rFonts w:eastAsia="MS Mincho"/>
        </w:rPr>
        <w:t xml:space="preserve"> and maximum values of current</w:t>
      </w:r>
      <w:r w:rsidR="00062001" w:rsidRPr="00EB1AFE">
        <w:rPr>
          <w:rFonts w:eastAsia="MS Mincho"/>
        </w:rPr>
        <w:t xml:space="preserve"> </w:t>
      </w:r>
      <w:r w:rsidR="00062001" w:rsidRPr="001A01C1">
        <w:rPr>
          <w:rFonts w:eastAsia="MS Mincho"/>
          <w:i/>
        </w:rPr>
        <w:t>I</w:t>
      </w:r>
      <w:r w:rsidR="00062001">
        <w:rPr>
          <w:rFonts w:eastAsia="MS Mincho"/>
          <w:vertAlign w:val="subscript"/>
        </w:rPr>
        <w:t>MAX</w:t>
      </w:r>
      <w:r w:rsidR="00B35E9E">
        <w:rPr>
          <w:rFonts w:eastAsia="MS Mincho"/>
        </w:rPr>
        <w:t xml:space="preserve"> </w:t>
      </w:r>
      <w:r>
        <w:rPr>
          <w:rFonts w:eastAsia="MS Mincho"/>
        </w:rPr>
        <w:t xml:space="preserve"> – BIO3</w:t>
      </w:r>
    </w:p>
    <w:p w14:paraId="111478B4" w14:textId="77777777" w:rsidR="00DB7B21" w:rsidRDefault="00DB7B21" w:rsidP="00DB7B21">
      <w:pPr>
        <w:pStyle w:val="figurecaption"/>
        <w:numPr>
          <w:ilvl w:val="0"/>
          <w:numId w:val="0"/>
        </w:numPr>
        <w:rPr>
          <w:rFonts w:eastAsia="MS Mincho"/>
        </w:rPr>
        <w:sectPr w:rsidR="00DB7B21" w:rsidSect="00DB7B21">
          <w:type w:val="continuous"/>
          <w:pgSz w:w="11909" w:h="16834" w:code="9"/>
          <w:pgMar w:top="1080" w:right="734" w:bottom="2127" w:left="734" w:header="720" w:footer="720" w:gutter="0"/>
          <w:cols w:space="360"/>
          <w:docGrid w:linePitch="360"/>
        </w:sectPr>
      </w:pPr>
    </w:p>
    <w:p w14:paraId="2316C9D5" w14:textId="0F712663" w:rsidR="00DB7B21" w:rsidRDefault="00DB7B21" w:rsidP="00DB7B21">
      <w:pPr>
        <w:spacing w:after="120"/>
        <w:ind w:firstLine="284"/>
        <w:jc w:val="both"/>
      </w:pPr>
      <w:r>
        <w:rPr>
          <w:rFonts w:eastAsia="MS Mincho"/>
        </w:rPr>
        <w:lastRenderedPageBreak/>
        <w:t>F</w:t>
      </w:r>
      <w:r w:rsidRPr="00974151">
        <w:rPr>
          <w:rFonts w:eastAsia="MS Mincho"/>
          <w:color w:val="000000"/>
        </w:rPr>
        <w:t>igure 2</w:t>
      </w:r>
      <w:r>
        <w:rPr>
          <w:rFonts w:eastAsia="MS Mincho"/>
        </w:rPr>
        <w:t xml:space="preserve"> shows short</w:t>
      </w:r>
      <w:r w:rsidR="007E5756">
        <w:rPr>
          <w:rFonts w:eastAsia="MS Mincho"/>
        </w:rPr>
        <w:t>-</w:t>
      </w:r>
      <w:r>
        <w:rPr>
          <w:rFonts w:eastAsia="MS Mincho"/>
        </w:rPr>
        <w:t xml:space="preserve">term flickers </w:t>
      </w:r>
      <w:proofErr w:type="spellStart"/>
      <w:proofErr w:type="gramStart"/>
      <w:r w:rsidRPr="001A01C1">
        <w:rPr>
          <w:rFonts w:eastAsia="MS Mincho"/>
          <w:i/>
        </w:rPr>
        <w:t>P</w:t>
      </w:r>
      <w:r>
        <w:rPr>
          <w:rFonts w:eastAsia="MS Mincho"/>
          <w:vertAlign w:val="subscript"/>
        </w:rPr>
        <w:t>st</w:t>
      </w:r>
      <w:proofErr w:type="spellEnd"/>
      <w:proofErr w:type="gramEnd"/>
      <w:r>
        <w:rPr>
          <w:rFonts w:eastAsia="MS Mincho"/>
        </w:rPr>
        <w:t xml:space="preserve"> and maximum values of current</w:t>
      </w:r>
      <w:r w:rsidRPr="00EB1AFE">
        <w:rPr>
          <w:rFonts w:eastAsia="MS Mincho"/>
        </w:rPr>
        <w:t xml:space="preserve"> </w:t>
      </w:r>
      <w:r w:rsidRPr="001A01C1">
        <w:rPr>
          <w:rFonts w:eastAsia="MS Mincho"/>
          <w:i/>
        </w:rPr>
        <w:t>I</w:t>
      </w:r>
      <w:r>
        <w:rPr>
          <w:rFonts w:eastAsia="MS Mincho"/>
          <w:vertAlign w:val="subscript"/>
        </w:rPr>
        <w:t>MAX</w:t>
      </w:r>
      <w:r>
        <w:rPr>
          <w:rFonts w:eastAsia="MS Mincho"/>
        </w:rPr>
        <w:t xml:space="preserve"> measured at </w:t>
      </w:r>
      <w:r w:rsidR="007E5756">
        <w:rPr>
          <w:rFonts w:eastAsia="MS Mincho"/>
        </w:rPr>
        <w:t xml:space="preserve">the </w:t>
      </w:r>
      <w:r>
        <w:rPr>
          <w:rFonts w:eastAsia="MS Mincho"/>
        </w:rPr>
        <w:t xml:space="preserve">connection point of 300 kW biogas power plant BIO3. Most of the flicker values during the measurement week were below </w:t>
      </w:r>
      <w:proofErr w:type="spellStart"/>
      <w:proofErr w:type="gramStart"/>
      <w:r w:rsidRPr="001A01C1">
        <w:rPr>
          <w:rFonts w:eastAsia="MS Mincho"/>
          <w:i/>
        </w:rPr>
        <w:t>P</w:t>
      </w:r>
      <w:r>
        <w:rPr>
          <w:rFonts w:eastAsia="MS Mincho"/>
          <w:vertAlign w:val="subscript"/>
        </w:rPr>
        <w:t>st</w:t>
      </w:r>
      <w:proofErr w:type="spellEnd"/>
      <w:proofErr w:type="gramEnd"/>
      <w:r>
        <w:rPr>
          <w:rFonts w:eastAsia="MS Mincho"/>
        </w:rPr>
        <w:t xml:space="preserve"> = 0.4. Also, some short</w:t>
      </w:r>
      <w:r w:rsidR="007E5756">
        <w:rPr>
          <w:rFonts w:eastAsia="MS Mincho"/>
        </w:rPr>
        <w:t>-</w:t>
      </w:r>
      <w:r>
        <w:rPr>
          <w:rFonts w:eastAsia="MS Mincho"/>
        </w:rPr>
        <w:t xml:space="preserve">term flicker peak values happened </w:t>
      </w:r>
      <w:r w:rsidRPr="00E02A60">
        <w:rPr>
          <w:rFonts w:eastAsia="MS Mincho"/>
        </w:rPr>
        <w:t>simultaneously</w:t>
      </w:r>
      <w:r>
        <w:rPr>
          <w:rFonts w:eastAsia="MS Mincho"/>
        </w:rPr>
        <w:t xml:space="preserve"> as biogas power plant current changes, but all of them, and consequently long</w:t>
      </w:r>
      <w:r w:rsidR="007E5756">
        <w:rPr>
          <w:rFonts w:eastAsia="MS Mincho"/>
        </w:rPr>
        <w:t>-</w:t>
      </w:r>
      <w:r>
        <w:rPr>
          <w:rFonts w:eastAsia="MS Mincho"/>
        </w:rPr>
        <w:t xml:space="preserve">term flickers, had values below </w:t>
      </w:r>
      <w:proofErr w:type="spellStart"/>
      <w:r w:rsidRPr="001A01C1">
        <w:rPr>
          <w:rFonts w:eastAsia="MS Mincho"/>
          <w:i/>
        </w:rPr>
        <w:t>P</w:t>
      </w:r>
      <w:r>
        <w:rPr>
          <w:rFonts w:eastAsia="MS Mincho"/>
          <w:vertAlign w:val="subscript"/>
        </w:rPr>
        <w:t>lt</w:t>
      </w:r>
      <w:proofErr w:type="spellEnd"/>
      <w:r>
        <w:rPr>
          <w:rFonts w:eastAsia="MS Mincho"/>
        </w:rPr>
        <w:t xml:space="preserve"> = 1.  </w:t>
      </w:r>
      <w:r w:rsidRPr="00B35E9E">
        <w:t xml:space="preserve">Similar results were also recorded </w:t>
      </w:r>
      <w:r>
        <w:t xml:space="preserve">at the connection points of BIO9 and BIO2. </w:t>
      </w:r>
      <w:r w:rsidR="007E5756">
        <w:t>The o</w:t>
      </w:r>
      <w:r>
        <w:t>nly difference is that there were higher values of short</w:t>
      </w:r>
      <w:r w:rsidR="007E5756">
        <w:t>-</w:t>
      </w:r>
      <w:r>
        <w:t xml:space="preserve">term peak value flickers, so one exceeded </w:t>
      </w:r>
      <w:r w:rsidR="007E5756">
        <w:t xml:space="preserve">the </w:t>
      </w:r>
      <w:r>
        <w:t xml:space="preserve">value </w:t>
      </w:r>
      <w:r w:rsidRPr="00B35E9E">
        <w:t xml:space="preserve">of the </w:t>
      </w:r>
      <w:r>
        <w:t xml:space="preserve">European </w:t>
      </w:r>
      <w:r w:rsidRPr="00B35E9E">
        <w:t xml:space="preserve">norm </w:t>
      </w:r>
      <w:r>
        <w:t>EN 50160 (</w:t>
      </w:r>
      <w:proofErr w:type="spellStart"/>
      <w:r w:rsidRPr="001A01C1">
        <w:rPr>
          <w:rFonts w:eastAsia="MS Mincho"/>
          <w:i/>
        </w:rPr>
        <w:t>P</w:t>
      </w:r>
      <w:r>
        <w:rPr>
          <w:rFonts w:eastAsia="MS Mincho"/>
          <w:vertAlign w:val="subscript"/>
        </w:rPr>
        <w:t>lt</w:t>
      </w:r>
      <w:proofErr w:type="spellEnd"/>
      <w:r>
        <w:rPr>
          <w:rFonts w:eastAsia="MS Mincho"/>
        </w:rPr>
        <w:t xml:space="preserve"> = 1) </w:t>
      </w:r>
      <w:r>
        <w:t xml:space="preserve">was recorded at the BIO9 and </w:t>
      </w:r>
      <w:r w:rsidRPr="00B35E9E">
        <w:t>three exceeded values were recorded</w:t>
      </w:r>
      <w:r>
        <w:t xml:space="preserve"> at BIO2, Figure 3. </w:t>
      </w:r>
    </w:p>
    <w:p w14:paraId="39B78043" w14:textId="77777777" w:rsidR="00166FD7" w:rsidRPr="00DB7B21" w:rsidRDefault="00166FD7" w:rsidP="00166FD7">
      <w:pPr>
        <w:spacing w:after="120"/>
        <w:ind w:firstLine="284"/>
        <w:jc w:val="both"/>
        <w:rPr>
          <w:rFonts w:eastAsia="MS Mincho"/>
        </w:rPr>
      </w:pPr>
      <w:r w:rsidRPr="00DB7B21">
        <w:rPr>
          <w:rFonts w:eastAsia="MS Mincho"/>
        </w:rPr>
        <w:lastRenderedPageBreak/>
        <w:t xml:space="preserve">Measurement results at the BIO4 show that there was a certain flicker contribution during all measurement week. By comparing the short term flicker values before and after the connection of BIO4 it can be noticed that the values after connection are somewhat higher than before. Before connecting the power plant most of the values went around </w:t>
      </w:r>
      <w:proofErr w:type="spellStart"/>
      <w:proofErr w:type="gramStart"/>
      <w:r w:rsidRPr="00DB7B21">
        <w:rPr>
          <w:rFonts w:eastAsia="MS Mincho"/>
          <w:i/>
        </w:rPr>
        <w:t>P</w:t>
      </w:r>
      <w:r w:rsidRPr="00DB7B21">
        <w:rPr>
          <w:rFonts w:eastAsia="MS Mincho"/>
          <w:vertAlign w:val="subscript"/>
        </w:rPr>
        <w:t>st</w:t>
      </w:r>
      <w:proofErr w:type="spellEnd"/>
      <w:proofErr w:type="gramEnd"/>
      <w:r w:rsidRPr="00DB7B21">
        <w:rPr>
          <w:rFonts w:eastAsia="MS Mincho"/>
        </w:rPr>
        <w:t xml:space="preserve"> = 0.2 with twenty prominent jumps, of which 2 values were above </w:t>
      </w:r>
      <w:proofErr w:type="spellStart"/>
      <w:r w:rsidRPr="00DB7B21">
        <w:rPr>
          <w:rFonts w:eastAsia="MS Mincho"/>
          <w:i/>
        </w:rPr>
        <w:t>P</w:t>
      </w:r>
      <w:r w:rsidRPr="00DB7B21">
        <w:rPr>
          <w:rFonts w:eastAsia="MS Mincho"/>
          <w:vertAlign w:val="subscript"/>
        </w:rPr>
        <w:t>st</w:t>
      </w:r>
      <w:proofErr w:type="spellEnd"/>
      <w:r w:rsidRPr="00DB7B21">
        <w:rPr>
          <w:rFonts w:eastAsia="MS Mincho"/>
        </w:rPr>
        <w:t xml:space="preserve"> = 1. After connecting the power plant it can be noticed that most values were moving around </w:t>
      </w:r>
      <w:proofErr w:type="spellStart"/>
      <w:proofErr w:type="gramStart"/>
      <w:r w:rsidRPr="00DB7B21">
        <w:rPr>
          <w:rFonts w:eastAsia="MS Mincho"/>
          <w:i/>
        </w:rPr>
        <w:t>P</w:t>
      </w:r>
      <w:r w:rsidRPr="00DB7B21">
        <w:rPr>
          <w:rFonts w:eastAsia="MS Mincho"/>
          <w:vertAlign w:val="subscript"/>
        </w:rPr>
        <w:t>st</w:t>
      </w:r>
      <w:proofErr w:type="spellEnd"/>
      <w:proofErr w:type="gramEnd"/>
      <w:r w:rsidRPr="00DB7B21">
        <w:rPr>
          <w:rFonts w:eastAsia="MS Mincho"/>
        </w:rPr>
        <w:t xml:space="preserve"> = 0.5 with a dozen expressive jumps, of which 4 values were above </w:t>
      </w:r>
      <w:proofErr w:type="spellStart"/>
      <w:r w:rsidRPr="00DB7B21">
        <w:rPr>
          <w:rFonts w:eastAsia="MS Mincho"/>
          <w:i/>
        </w:rPr>
        <w:t>P</w:t>
      </w:r>
      <w:r w:rsidRPr="00DB7B21">
        <w:rPr>
          <w:rFonts w:eastAsia="MS Mincho"/>
          <w:vertAlign w:val="subscript"/>
        </w:rPr>
        <w:t>st</w:t>
      </w:r>
      <w:proofErr w:type="spellEnd"/>
      <w:r w:rsidRPr="00DB7B21">
        <w:rPr>
          <w:rFonts w:eastAsia="MS Mincho"/>
        </w:rPr>
        <w:t xml:space="preserve"> = 1. </w:t>
      </w:r>
    </w:p>
    <w:p w14:paraId="64A21975" w14:textId="77777777" w:rsidR="00166FD7" w:rsidRDefault="00166FD7" w:rsidP="00DB7B21">
      <w:pPr>
        <w:spacing w:after="120"/>
        <w:ind w:firstLine="284"/>
        <w:jc w:val="both"/>
        <w:rPr>
          <w:rFonts w:eastAsia="MS Mincho"/>
        </w:rPr>
      </w:pPr>
    </w:p>
    <w:p w14:paraId="602643C6" w14:textId="77777777" w:rsidR="00DB7B21" w:rsidRDefault="00DB7B21" w:rsidP="00DB7B21">
      <w:pPr>
        <w:pStyle w:val="figurecaption"/>
        <w:numPr>
          <w:ilvl w:val="0"/>
          <w:numId w:val="0"/>
        </w:numPr>
        <w:rPr>
          <w:rFonts w:eastAsia="MS Mincho"/>
        </w:rPr>
        <w:sectPr w:rsidR="00DB7B21" w:rsidSect="00DB7B21">
          <w:type w:val="continuous"/>
          <w:pgSz w:w="11909" w:h="16834" w:code="9"/>
          <w:pgMar w:top="1080" w:right="734" w:bottom="2127" w:left="734" w:header="720" w:footer="720" w:gutter="0"/>
          <w:cols w:num="2" w:space="360"/>
          <w:docGrid w:linePitch="360"/>
        </w:sectPr>
      </w:pPr>
    </w:p>
    <w:p w14:paraId="48EBD749" w14:textId="19D0901D" w:rsidR="00062001" w:rsidRDefault="00C22659" w:rsidP="00446F7D">
      <w:r>
        <w:rPr>
          <w:noProof/>
        </w:rPr>
        <w:lastRenderedPageBreak/>
        <w:drawing>
          <wp:inline distT="0" distB="0" distL="0" distR="0" wp14:anchorId="7F0FE78C" wp14:editId="342B373A">
            <wp:extent cx="5898503" cy="3038475"/>
            <wp:effectExtent l="0" t="0" r="7620" b="0"/>
            <wp:docPr id="3" name="Picture 3" descr="Br2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2Plt"/>
                    <pic:cNvPicPr>
                      <a:picLocks noChangeAspect="1" noChangeArrowheads="1"/>
                    </pic:cNvPicPr>
                  </pic:nvPicPr>
                  <pic:blipFill rotWithShape="1">
                    <a:blip r:embed="rId11">
                      <a:extLst>
                        <a:ext uri="{28A0092B-C50C-407E-A947-70E740481C1C}">
                          <a14:useLocalDpi xmlns:a14="http://schemas.microsoft.com/office/drawing/2010/main" val="0"/>
                        </a:ext>
                      </a:extLst>
                    </a:blip>
                    <a:srcRect t="3704"/>
                    <a:stretch/>
                  </pic:blipFill>
                  <pic:spPr bwMode="auto">
                    <a:xfrm>
                      <a:off x="0" y="0"/>
                      <a:ext cx="5922348" cy="3050758"/>
                    </a:xfrm>
                    <a:prstGeom prst="rect">
                      <a:avLst/>
                    </a:prstGeom>
                    <a:noFill/>
                    <a:ln>
                      <a:noFill/>
                    </a:ln>
                    <a:extLst>
                      <a:ext uri="{53640926-AAD7-44D8-BBD7-CCE9431645EC}">
                        <a14:shadowObscured xmlns:a14="http://schemas.microsoft.com/office/drawing/2010/main"/>
                      </a:ext>
                    </a:extLst>
                  </pic:spPr>
                </pic:pic>
              </a:graphicData>
            </a:graphic>
          </wp:inline>
        </w:drawing>
      </w:r>
    </w:p>
    <w:p w14:paraId="1AAEF8FE" w14:textId="77777777" w:rsidR="00B35E9E" w:rsidRDefault="00446F7D" w:rsidP="00B35E9E">
      <w:pPr>
        <w:pStyle w:val="figurecaption"/>
        <w:rPr>
          <w:rFonts w:eastAsia="MS Mincho"/>
        </w:rPr>
      </w:pPr>
      <w:r>
        <w:rPr>
          <w:rFonts w:eastAsia="MS Mincho"/>
        </w:rPr>
        <w:t>Long</w:t>
      </w:r>
      <w:r w:rsidR="00B35E9E">
        <w:rPr>
          <w:rFonts w:eastAsia="MS Mincho"/>
        </w:rPr>
        <w:t xml:space="preserve"> term flickers </w:t>
      </w:r>
      <w:r w:rsidR="00B35E9E" w:rsidRPr="001A01C1">
        <w:rPr>
          <w:rFonts w:eastAsia="MS Mincho"/>
          <w:i/>
        </w:rPr>
        <w:t>P</w:t>
      </w:r>
      <w:r>
        <w:rPr>
          <w:rFonts w:eastAsia="MS Mincho"/>
          <w:vertAlign w:val="subscript"/>
        </w:rPr>
        <w:t>l</w:t>
      </w:r>
      <w:r w:rsidR="00B35E9E">
        <w:rPr>
          <w:rFonts w:eastAsia="MS Mincho"/>
          <w:vertAlign w:val="subscript"/>
        </w:rPr>
        <w:t>t</w:t>
      </w:r>
      <w:r w:rsidR="00B35E9E">
        <w:rPr>
          <w:rFonts w:eastAsia="MS Mincho"/>
        </w:rPr>
        <w:t xml:space="preserve"> – BIO</w:t>
      </w:r>
      <w:r>
        <w:rPr>
          <w:rFonts w:eastAsia="MS Mincho"/>
        </w:rPr>
        <w:t>2</w:t>
      </w:r>
    </w:p>
    <w:p w14:paraId="4592EA36" w14:textId="3EF97EE1" w:rsidR="00D13C9E" w:rsidRDefault="00C22659" w:rsidP="00382557">
      <w:pPr>
        <w:pStyle w:val="tablehead"/>
        <w:numPr>
          <w:ilvl w:val="0"/>
          <w:numId w:val="0"/>
        </w:numPr>
      </w:pPr>
      <w:r w:rsidRPr="00E02A60">
        <w:drawing>
          <wp:inline distT="0" distB="0" distL="0" distR="0" wp14:anchorId="2032E9F6" wp14:editId="7D4941CC">
            <wp:extent cx="5893165" cy="3209925"/>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9817" cy="3224442"/>
                    </a:xfrm>
                    <a:prstGeom prst="rect">
                      <a:avLst/>
                    </a:prstGeom>
                    <a:noFill/>
                    <a:ln>
                      <a:noFill/>
                    </a:ln>
                  </pic:spPr>
                </pic:pic>
              </a:graphicData>
            </a:graphic>
          </wp:inline>
        </w:drawing>
      </w:r>
    </w:p>
    <w:p w14:paraId="39B5AB86" w14:textId="7E4A8F7E" w:rsidR="00382557" w:rsidRPr="00DB7B21" w:rsidRDefault="00290512" w:rsidP="00DB7B21">
      <w:pPr>
        <w:pStyle w:val="figurecaption"/>
        <w:rPr>
          <w:rFonts w:eastAsia="MS Mincho"/>
        </w:rPr>
        <w:sectPr w:rsidR="00382557" w:rsidRPr="00DB7B21" w:rsidSect="00DB7B21">
          <w:type w:val="continuous"/>
          <w:pgSz w:w="11909" w:h="16834" w:code="9"/>
          <w:pgMar w:top="1080" w:right="734" w:bottom="2127" w:left="734" w:header="720" w:footer="720" w:gutter="0"/>
          <w:cols w:space="360"/>
          <w:docGrid w:linePitch="360"/>
        </w:sectPr>
      </w:pPr>
      <w:r>
        <w:rPr>
          <w:rFonts w:eastAsia="MS Mincho"/>
        </w:rPr>
        <w:t xml:space="preserve">Short term flickers </w:t>
      </w:r>
      <w:r w:rsidRPr="001A01C1">
        <w:rPr>
          <w:rFonts w:eastAsia="MS Mincho"/>
          <w:i/>
        </w:rPr>
        <w:t>P</w:t>
      </w:r>
      <w:r>
        <w:rPr>
          <w:rFonts w:eastAsia="MS Mincho"/>
          <w:vertAlign w:val="subscript"/>
        </w:rPr>
        <w:t>st</w:t>
      </w:r>
      <w:r>
        <w:rPr>
          <w:rFonts w:eastAsia="MS Mincho"/>
        </w:rPr>
        <w:t xml:space="preserve"> and </w:t>
      </w:r>
      <w:r>
        <w:t>averaged 10-minute effective current values</w:t>
      </w:r>
      <w:r w:rsidR="00DB7B21">
        <w:rPr>
          <w:rFonts w:eastAsia="MS Mincho"/>
        </w:rPr>
        <w:t xml:space="preserve"> – BIO4</w:t>
      </w:r>
    </w:p>
    <w:p w14:paraId="0EAC3C3B" w14:textId="440231E4" w:rsidR="00DB7B21" w:rsidRPr="00DB7B21" w:rsidRDefault="00DB7B21" w:rsidP="00DB7B21">
      <w:pPr>
        <w:spacing w:after="120"/>
        <w:ind w:firstLine="284"/>
        <w:jc w:val="both"/>
        <w:rPr>
          <w:rFonts w:eastAsia="MS Mincho"/>
        </w:rPr>
      </w:pPr>
      <w:r w:rsidRPr="00DB7B21">
        <w:rPr>
          <w:rFonts w:eastAsia="MS Mincho"/>
        </w:rPr>
        <w:lastRenderedPageBreak/>
        <w:t>According to Figure 4 (where short</w:t>
      </w:r>
      <w:r w:rsidR="007E5756">
        <w:rPr>
          <w:rFonts w:eastAsia="MS Mincho"/>
        </w:rPr>
        <w:t>-</w:t>
      </w:r>
      <w:r w:rsidRPr="00DB7B21">
        <w:rPr>
          <w:rFonts w:eastAsia="MS Mincho"/>
        </w:rPr>
        <w:t>term voltage flicker and averaged 10-minute effective current values are shown) it can be concluded that values of short</w:t>
      </w:r>
      <w:r w:rsidR="007E5756">
        <w:rPr>
          <w:rFonts w:eastAsia="MS Mincho"/>
        </w:rPr>
        <w:t>-</w:t>
      </w:r>
      <w:r w:rsidRPr="00DB7B21">
        <w:rPr>
          <w:rFonts w:eastAsia="MS Mincho"/>
        </w:rPr>
        <w:t>term flicker (</w:t>
      </w:r>
      <w:proofErr w:type="spellStart"/>
      <w:proofErr w:type="gramStart"/>
      <w:r w:rsidRPr="00DB7B21">
        <w:rPr>
          <w:rFonts w:eastAsia="MS Mincho"/>
          <w:i/>
        </w:rPr>
        <w:t>P</w:t>
      </w:r>
      <w:r w:rsidRPr="00DB7B21">
        <w:rPr>
          <w:rFonts w:eastAsia="MS Mincho"/>
          <w:vertAlign w:val="subscript"/>
        </w:rPr>
        <w:t>st</w:t>
      </w:r>
      <w:proofErr w:type="spellEnd"/>
      <w:proofErr w:type="gramEnd"/>
      <w:r w:rsidRPr="00DB7B21">
        <w:rPr>
          <w:rFonts w:eastAsia="MS Mincho"/>
        </w:rPr>
        <w:t xml:space="preserve"> = 0.5) were caused by power plant operation. But since the contribution of the power plant to the short term flicker were below the value of </w:t>
      </w:r>
      <w:proofErr w:type="spellStart"/>
      <w:proofErr w:type="gramStart"/>
      <w:r w:rsidRPr="00DB7B21">
        <w:rPr>
          <w:rFonts w:eastAsia="MS Mincho"/>
          <w:i/>
        </w:rPr>
        <w:t>P</w:t>
      </w:r>
      <w:r w:rsidRPr="00DB7B21">
        <w:rPr>
          <w:rFonts w:eastAsia="MS Mincho"/>
          <w:vertAlign w:val="subscript"/>
        </w:rPr>
        <w:t>st</w:t>
      </w:r>
      <w:proofErr w:type="spellEnd"/>
      <w:proofErr w:type="gramEnd"/>
      <w:r w:rsidRPr="00DB7B21">
        <w:rPr>
          <w:rFonts w:eastAsia="MS Mincho"/>
        </w:rPr>
        <w:t xml:space="preserve"> = 0.7 (the contribution mostly moves around </w:t>
      </w:r>
      <w:proofErr w:type="spellStart"/>
      <w:r w:rsidRPr="00DB7B21">
        <w:rPr>
          <w:rFonts w:eastAsia="MS Mincho"/>
          <w:i/>
        </w:rPr>
        <w:t>P</w:t>
      </w:r>
      <w:r w:rsidRPr="00DB7B21">
        <w:rPr>
          <w:rFonts w:eastAsia="MS Mincho"/>
          <w:vertAlign w:val="subscript"/>
        </w:rPr>
        <w:t>st</w:t>
      </w:r>
      <w:proofErr w:type="spellEnd"/>
      <w:r w:rsidRPr="00DB7B21">
        <w:rPr>
          <w:rFonts w:eastAsia="MS Mincho"/>
        </w:rPr>
        <w:t xml:space="preserve"> = 0.3) it is clear that BIO4 has allowed contribution of short</w:t>
      </w:r>
      <w:r w:rsidR="007E5756">
        <w:rPr>
          <w:rFonts w:eastAsia="MS Mincho"/>
        </w:rPr>
        <w:t>-</w:t>
      </w:r>
      <w:r w:rsidRPr="00DB7B21">
        <w:rPr>
          <w:rFonts w:eastAsia="MS Mincho"/>
        </w:rPr>
        <w:t>term flickers according to the Croatian Grid Code. Consequently, a similar conclusion applies to long</w:t>
      </w:r>
      <w:r w:rsidR="007E5756">
        <w:rPr>
          <w:rFonts w:eastAsia="MS Mincho"/>
        </w:rPr>
        <w:t>-</w:t>
      </w:r>
      <w:r w:rsidRPr="00DB7B21">
        <w:rPr>
          <w:rFonts w:eastAsia="MS Mincho"/>
        </w:rPr>
        <w:t>term flickers.</w:t>
      </w:r>
    </w:p>
    <w:p w14:paraId="0981FD7D" w14:textId="6DA623A4" w:rsidR="00D13C9E" w:rsidRDefault="00D13C9E" w:rsidP="00D13C9E">
      <w:pPr>
        <w:pStyle w:val="Heading2"/>
        <w:numPr>
          <w:ilvl w:val="1"/>
          <w:numId w:val="4"/>
        </w:numPr>
        <w:tabs>
          <w:tab w:val="clear" w:pos="360"/>
          <w:tab w:val="num" w:pos="288"/>
        </w:tabs>
      </w:pPr>
      <w:r>
        <w:t>Photovoltaic Power Plants</w:t>
      </w:r>
    </w:p>
    <w:p w14:paraId="5AE654AA" w14:textId="77777777" w:rsidR="000C7191" w:rsidRDefault="00CC45B6" w:rsidP="00DB7B21">
      <w:pPr>
        <w:spacing w:after="120"/>
        <w:ind w:firstLine="284"/>
        <w:jc w:val="both"/>
        <w:rPr>
          <w:rFonts w:eastAsia="MS Mincho"/>
        </w:rPr>
      </w:pPr>
      <w:r>
        <w:rPr>
          <w:rFonts w:eastAsia="MS Mincho"/>
        </w:rPr>
        <w:t xml:space="preserve">During the last 7 years (from 2011) </w:t>
      </w:r>
      <w:r w:rsidR="000C7191">
        <w:rPr>
          <w:rFonts w:eastAsia="MS Mincho"/>
        </w:rPr>
        <w:t xml:space="preserve">power quality measurements on </w:t>
      </w:r>
      <w:r>
        <w:rPr>
          <w:rFonts w:eastAsia="MS Mincho"/>
        </w:rPr>
        <w:t xml:space="preserve">7 </w:t>
      </w:r>
      <w:r w:rsidR="000C7191">
        <w:rPr>
          <w:rFonts w:eastAsia="MS Mincho"/>
        </w:rPr>
        <w:t>PV power plants</w:t>
      </w:r>
      <w:r>
        <w:rPr>
          <w:rFonts w:eastAsia="MS Mincho"/>
        </w:rPr>
        <w:t xml:space="preserve"> were performed.</w:t>
      </w:r>
      <w:r w:rsidR="000C7191">
        <w:rPr>
          <w:rFonts w:eastAsia="MS Mincho"/>
        </w:rPr>
        <w:t xml:space="preserve"> Table II shows </w:t>
      </w:r>
      <w:r w:rsidR="00324B4A" w:rsidRPr="00324B4A">
        <w:rPr>
          <w:rFonts w:eastAsia="MS Mincho"/>
        </w:rPr>
        <w:t>summarized</w:t>
      </w:r>
      <w:r>
        <w:rPr>
          <w:rFonts w:eastAsia="MS Mincho"/>
        </w:rPr>
        <w:t xml:space="preserve"> measurement results for every PV power plant, and for each power quality index. </w:t>
      </w:r>
      <w:r w:rsidRPr="00CC45B6">
        <w:rPr>
          <w:rFonts w:eastAsia="MS Mincho"/>
        </w:rPr>
        <w:t xml:space="preserve">Same as with biogas </w:t>
      </w:r>
      <w:r>
        <w:rPr>
          <w:rFonts w:eastAsia="MS Mincho"/>
        </w:rPr>
        <w:t xml:space="preserve">power </w:t>
      </w:r>
      <w:r w:rsidRPr="00CC45B6">
        <w:rPr>
          <w:rFonts w:eastAsia="MS Mincho"/>
        </w:rPr>
        <w:t>plants,</w:t>
      </w:r>
      <w:r>
        <w:rPr>
          <w:rFonts w:eastAsia="MS Mincho"/>
        </w:rPr>
        <w:t xml:space="preserve"> measurements were performed before and after the connection of each PV power plant. </w:t>
      </w:r>
    </w:p>
    <w:p w14:paraId="514AD6B2" w14:textId="79AEDDDC" w:rsidR="00FA7894" w:rsidRDefault="003631FD" w:rsidP="00DB7B21">
      <w:pPr>
        <w:spacing w:after="120"/>
        <w:ind w:firstLine="284"/>
        <w:jc w:val="both"/>
        <w:rPr>
          <w:rFonts w:eastAsia="MS Mincho"/>
        </w:rPr>
      </w:pPr>
      <w:r>
        <w:rPr>
          <w:rFonts w:eastAsia="MS Mincho"/>
        </w:rPr>
        <w:t xml:space="preserve">Table II shows that there were some </w:t>
      </w:r>
      <w:r w:rsidRPr="003631FD">
        <w:rPr>
          <w:rFonts w:eastAsia="MS Mincho"/>
        </w:rPr>
        <w:t>worsening</w:t>
      </w:r>
      <w:r>
        <w:rPr>
          <w:rFonts w:eastAsia="MS Mincho"/>
        </w:rPr>
        <w:t xml:space="preserve"> in 4 power plants: </w:t>
      </w:r>
      <w:r w:rsidR="007C0855">
        <w:rPr>
          <w:rFonts w:eastAsia="MS Mincho"/>
        </w:rPr>
        <w:t xml:space="preserve">index </w:t>
      </w:r>
      <w:r>
        <w:rPr>
          <w:rFonts w:eastAsia="MS Mincho"/>
        </w:rPr>
        <w:t>voltage variations w</w:t>
      </w:r>
      <w:r w:rsidR="007E5756">
        <w:rPr>
          <w:rFonts w:eastAsia="MS Mincho"/>
        </w:rPr>
        <w:t>ere</w:t>
      </w:r>
      <w:r>
        <w:rPr>
          <w:rFonts w:eastAsia="MS Mincho"/>
        </w:rPr>
        <w:t xml:space="preserve"> worse in PV5, and flickers were worse in PV1, PV3</w:t>
      </w:r>
      <w:r w:rsidR="007E5756">
        <w:rPr>
          <w:rFonts w:eastAsia="MS Mincho"/>
        </w:rPr>
        <w:t>,</w:t>
      </w:r>
      <w:r>
        <w:rPr>
          <w:rFonts w:eastAsia="MS Mincho"/>
        </w:rPr>
        <w:t xml:space="preserve"> and PV7. </w:t>
      </w:r>
      <w:r w:rsidR="007C0855">
        <w:rPr>
          <w:rFonts w:eastAsia="MS Mincho"/>
        </w:rPr>
        <w:t>It is possible that PV5 is responsible for slightly higher voltage in low voltage distribution network</w:t>
      </w:r>
      <w:r w:rsidR="00324B4A">
        <w:rPr>
          <w:rFonts w:eastAsia="MS Mincho"/>
        </w:rPr>
        <w:t xml:space="preserve"> because</w:t>
      </w:r>
      <w:r w:rsidR="007C0855">
        <w:rPr>
          <w:rFonts w:eastAsia="MS Mincho"/>
        </w:rPr>
        <w:t xml:space="preserve"> </w:t>
      </w:r>
      <w:r w:rsidR="00324B4A">
        <w:rPr>
          <w:rFonts w:eastAsia="MS Mincho"/>
        </w:rPr>
        <w:t xml:space="preserve">30 </w:t>
      </w:r>
      <w:proofErr w:type="spellStart"/>
      <w:r w:rsidR="00324B4A">
        <w:rPr>
          <w:rFonts w:eastAsia="MS Mincho"/>
        </w:rPr>
        <w:t>kWp</w:t>
      </w:r>
      <w:proofErr w:type="spellEnd"/>
      <w:r w:rsidR="00324B4A">
        <w:rPr>
          <w:rFonts w:eastAsia="MS Mincho"/>
        </w:rPr>
        <w:t xml:space="preserve"> </w:t>
      </w:r>
      <w:r w:rsidR="00C236A9">
        <w:rPr>
          <w:rFonts w:eastAsia="MS Mincho"/>
        </w:rPr>
        <w:t xml:space="preserve">PV power plant </w:t>
      </w:r>
      <w:r w:rsidR="007C0855">
        <w:rPr>
          <w:rFonts w:eastAsia="MS Mincho"/>
        </w:rPr>
        <w:t xml:space="preserve">PV5 </w:t>
      </w:r>
      <w:r w:rsidR="00324B4A">
        <w:rPr>
          <w:rFonts w:eastAsia="MS Mincho"/>
        </w:rPr>
        <w:t>is</w:t>
      </w:r>
      <w:r w:rsidR="007C0855">
        <w:rPr>
          <w:rFonts w:eastAsia="MS Mincho"/>
        </w:rPr>
        <w:t xml:space="preserve"> connected </w:t>
      </w:r>
      <w:r w:rsidR="00C236A9">
        <w:rPr>
          <w:rFonts w:eastAsia="MS Mincho"/>
        </w:rPr>
        <w:t>to</w:t>
      </w:r>
      <w:r w:rsidR="00556129">
        <w:rPr>
          <w:rFonts w:eastAsia="MS Mincho"/>
        </w:rPr>
        <w:t xml:space="preserve"> 400 V distribution network. </w:t>
      </w:r>
      <w:r w:rsidR="00C236A9">
        <w:rPr>
          <w:rFonts w:eastAsia="MS Mincho"/>
        </w:rPr>
        <w:t xml:space="preserve">Regarding flickers in PV1, PV3 and PV7, further analysis shows that PV power plants </w:t>
      </w:r>
      <w:r w:rsidR="00AC1E7F">
        <w:rPr>
          <w:rFonts w:eastAsia="MS Mincho"/>
        </w:rPr>
        <w:t xml:space="preserve">mainly </w:t>
      </w:r>
      <w:r w:rsidR="00C236A9">
        <w:rPr>
          <w:rFonts w:eastAsia="MS Mincho"/>
        </w:rPr>
        <w:t xml:space="preserve">did not cause it. </w:t>
      </w:r>
    </w:p>
    <w:p w14:paraId="5967929B" w14:textId="67ED80ED" w:rsidR="00601443" w:rsidRDefault="00601443" w:rsidP="00601443">
      <w:pPr>
        <w:spacing w:after="120"/>
        <w:ind w:firstLine="284"/>
        <w:jc w:val="both"/>
        <w:rPr>
          <w:rFonts w:eastAsia="MS Mincho"/>
        </w:rPr>
      </w:pPr>
      <w:r w:rsidRPr="00974151">
        <w:rPr>
          <w:rFonts w:eastAsia="MS Mincho"/>
          <w:color w:val="000000"/>
        </w:rPr>
        <w:t>Figure 5</w:t>
      </w:r>
      <w:r>
        <w:rPr>
          <w:rFonts w:eastAsia="MS Mincho"/>
        </w:rPr>
        <w:t xml:space="preserve"> shows short</w:t>
      </w:r>
      <w:r w:rsidR="007E5756">
        <w:rPr>
          <w:rFonts w:eastAsia="MS Mincho"/>
        </w:rPr>
        <w:t>-</w:t>
      </w:r>
      <w:r>
        <w:rPr>
          <w:rFonts w:eastAsia="MS Mincho"/>
        </w:rPr>
        <w:t xml:space="preserve">term flickers </w:t>
      </w:r>
      <w:proofErr w:type="spellStart"/>
      <w:proofErr w:type="gramStart"/>
      <w:r w:rsidRPr="001A01C1">
        <w:rPr>
          <w:rFonts w:eastAsia="MS Mincho"/>
          <w:i/>
        </w:rPr>
        <w:t>P</w:t>
      </w:r>
      <w:r>
        <w:rPr>
          <w:rFonts w:eastAsia="MS Mincho"/>
          <w:vertAlign w:val="subscript"/>
        </w:rPr>
        <w:t>st</w:t>
      </w:r>
      <w:proofErr w:type="spellEnd"/>
      <w:proofErr w:type="gramEnd"/>
      <w:r>
        <w:rPr>
          <w:rFonts w:eastAsia="MS Mincho"/>
        </w:rPr>
        <w:t xml:space="preserve"> and maximum values of current</w:t>
      </w:r>
      <w:r w:rsidRPr="00EB1AFE">
        <w:rPr>
          <w:rFonts w:eastAsia="MS Mincho"/>
        </w:rPr>
        <w:t xml:space="preserve"> </w:t>
      </w:r>
      <w:r w:rsidRPr="001A01C1">
        <w:rPr>
          <w:rFonts w:eastAsia="MS Mincho"/>
          <w:i/>
        </w:rPr>
        <w:t>I</w:t>
      </w:r>
      <w:r>
        <w:rPr>
          <w:rFonts w:eastAsia="MS Mincho"/>
          <w:vertAlign w:val="subscript"/>
        </w:rPr>
        <w:t>MAX</w:t>
      </w:r>
      <w:r>
        <w:rPr>
          <w:rFonts w:eastAsia="MS Mincho"/>
        </w:rPr>
        <w:t xml:space="preserve"> measured on 300 </w:t>
      </w:r>
      <w:proofErr w:type="spellStart"/>
      <w:r>
        <w:rPr>
          <w:rFonts w:eastAsia="MS Mincho"/>
        </w:rPr>
        <w:t>kWp</w:t>
      </w:r>
      <w:proofErr w:type="spellEnd"/>
      <w:r>
        <w:rPr>
          <w:rFonts w:eastAsia="MS Mincho"/>
        </w:rPr>
        <w:t xml:space="preserve"> PV power plant PV7. Most of the flicker values during the measurement week were below </w:t>
      </w:r>
      <w:proofErr w:type="spellStart"/>
      <w:proofErr w:type="gramStart"/>
      <w:r w:rsidRPr="001A01C1">
        <w:rPr>
          <w:rFonts w:eastAsia="MS Mincho"/>
          <w:i/>
        </w:rPr>
        <w:t>P</w:t>
      </w:r>
      <w:r>
        <w:rPr>
          <w:rFonts w:eastAsia="MS Mincho"/>
          <w:vertAlign w:val="subscript"/>
        </w:rPr>
        <w:t>st</w:t>
      </w:r>
      <w:proofErr w:type="spellEnd"/>
      <w:proofErr w:type="gramEnd"/>
      <w:r>
        <w:rPr>
          <w:rFonts w:eastAsia="MS Mincho"/>
        </w:rPr>
        <w:t xml:space="preserve"> = 0.2 and although some peak values were caused by changes in PV production, most of them were happened when PV was inactive. </w:t>
      </w:r>
      <w:r w:rsidR="00547161">
        <w:rPr>
          <w:rFonts w:eastAsia="MS Mincho"/>
        </w:rPr>
        <w:t>The v</w:t>
      </w:r>
      <w:r>
        <w:rPr>
          <w:rFonts w:eastAsia="MS Mincho"/>
        </w:rPr>
        <w:t>ery similar situation w</w:t>
      </w:r>
      <w:r w:rsidR="00547161">
        <w:rPr>
          <w:rFonts w:eastAsia="MS Mincho"/>
        </w:rPr>
        <w:t>as</w:t>
      </w:r>
      <w:r>
        <w:rPr>
          <w:rFonts w:eastAsia="MS Mincho"/>
        </w:rPr>
        <w:t xml:space="preserve"> on PV3 – most of </w:t>
      </w:r>
      <w:r w:rsidR="00547161">
        <w:rPr>
          <w:rFonts w:eastAsia="MS Mincho"/>
        </w:rPr>
        <w:t xml:space="preserve">the </w:t>
      </w:r>
      <w:r>
        <w:rPr>
          <w:rFonts w:eastAsia="MS Mincho"/>
        </w:rPr>
        <w:t>recorded flickers were caused by events from power network.</w:t>
      </w:r>
    </w:p>
    <w:p w14:paraId="6A247F42" w14:textId="1D77F46B" w:rsidR="00601443" w:rsidRDefault="00601443" w:rsidP="00601443">
      <w:pPr>
        <w:jc w:val="both"/>
      </w:pPr>
      <w:r>
        <w:rPr>
          <w:rFonts w:eastAsia="MS Mincho"/>
        </w:rPr>
        <w:lastRenderedPageBreak/>
        <w:t>I</w:t>
      </w:r>
      <w:r w:rsidRPr="002C026B">
        <w:rPr>
          <w:rFonts w:eastAsia="MS Mincho"/>
        </w:rPr>
        <w:t>t is interesting</w:t>
      </w:r>
      <w:r>
        <w:rPr>
          <w:rFonts w:eastAsia="MS Mincho"/>
        </w:rPr>
        <w:t xml:space="preserve"> that there was no harmonic worsening in any PV power plant measurement. </w:t>
      </w:r>
      <w:r w:rsidRPr="00211E4B">
        <w:t xml:space="preserve">However, a deeper analysis of the measurement results in several measurement periods has shown that changes in sunlight have no effect on the voltage harmonics recorded at the </w:t>
      </w:r>
      <w:r>
        <w:t xml:space="preserve">connection </w:t>
      </w:r>
      <w:r w:rsidRPr="00211E4B">
        <w:t xml:space="preserve">point of the photovoltaic power </w:t>
      </w:r>
      <w:r>
        <w:t>plant</w:t>
      </w:r>
      <w:r w:rsidRPr="00211E4B">
        <w:t>. The recorded data show that there is no correlation between the voltage harmonics and the</w:t>
      </w:r>
      <w:r>
        <w:t xml:space="preserve"> </w:t>
      </w:r>
      <w:r w:rsidRPr="00211E4B">
        <w:t>production</w:t>
      </w:r>
      <w:r>
        <w:t xml:space="preserve"> of the </w:t>
      </w:r>
      <w:r w:rsidRPr="00211E4B">
        <w:t>photovoltai</w:t>
      </w:r>
      <w:r>
        <w:t>c power plant, Figure 7</w:t>
      </w:r>
      <w:r w:rsidRPr="00211E4B">
        <w:t>.</w:t>
      </w:r>
      <w:r>
        <w:t xml:space="preserve"> H</w:t>
      </w:r>
      <w:r w:rsidRPr="002C026B">
        <w:t>ere the facts mentioned</w:t>
      </w:r>
      <w:r>
        <w:t xml:space="preserve"> in [10] and [11] are </w:t>
      </w:r>
      <w:r w:rsidRPr="002C026B">
        <w:t>confirmed</w:t>
      </w:r>
      <w:r>
        <w:t>.</w:t>
      </w:r>
    </w:p>
    <w:p w14:paraId="6C6E0074" w14:textId="304FD17D" w:rsidR="00601443" w:rsidRDefault="00601443" w:rsidP="00601443">
      <w:pPr>
        <w:spacing w:after="120"/>
        <w:ind w:firstLine="284"/>
        <w:jc w:val="both"/>
        <w:rPr>
          <w:rFonts w:eastAsia="MS Mincho"/>
        </w:rPr>
      </w:pPr>
      <w:r>
        <w:rPr>
          <w:rFonts w:eastAsia="MS Mincho"/>
        </w:rPr>
        <w:t xml:space="preserve">On the other side, </w:t>
      </w:r>
      <w:r w:rsidRPr="00974151">
        <w:rPr>
          <w:rFonts w:eastAsia="MS Mincho"/>
          <w:color w:val="000000"/>
        </w:rPr>
        <w:t>Figure 6</w:t>
      </w:r>
      <w:r>
        <w:rPr>
          <w:rFonts w:eastAsia="MS Mincho"/>
        </w:rPr>
        <w:t xml:space="preserve"> shows </w:t>
      </w:r>
      <w:r w:rsidR="00547161">
        <w:rPr>
          <w:rFonts w:eastAsia="MS Mincho"/>
        </w:rPr>
        <w:t xml:space="preserve">a </w:t>
      </w:r>
      <w:r>
        <w:rPr>
          <w:rFonts w:eastAsia="MS Mincho"/>
        </w:rPr>
        <w:t>different situation on 30 </w:t>
      </w:r>
      <w:proofErr w:type="spellStart"/>
      <w:r>
        <w:rPr>
          <w:rFonts w:eastAsia="MS Mincho"/>
        </w:rPr>
        <w:t>kWp</w:t>
      </w:r>
      <w:proofErr w:type="spellEnd"/>
      <w:r>
        <w:rPr>
          <w:rFonts w:eastAsia="MS Mincho"/>
        </w:rPr>
        <w:t xml:space="preserve"> PV power plant PV1. Most of the flicker values during the measurement week were also low – below </w:t>
      </w:r>
      <w:proofErr w:type="spellStart"/>
      <w:r w:rsidRPr="001A01C1">
        <w:rPr>
          <w:rFonts w:eastAsia="MS Mincho"/>
          <w:i/>
        </w:rPr>
        <w:t>P</w:t>
      </w:r>
      <w:r>
        <w:rPr>
          <w:rFonts w:eastAsia="MS Mincho"/>
          <w:vertAlign w:val="subscript"/>
        </w:rPr>
        <w:t>st</w:t>
      </w:r>
      <w:proofErr w:type="spellEnd"/>
      <w:r>
        <w:rPr>
          <w:rFonts w:eastAsia="MS Mincho"/>
        </w:rPr>
        <w:t xml:space="preserve"> = 0</w:t>
      </w:r>
      <w:proofErr w:type="gramStart"/>
      <w:r>
        <w:rPr>
          <w:rFonts w:eastAsia="MS Mincho"/>
        </w:rPr>
        <w:t>,3</w:t>
      </w:r>
      <w:proofErr w:type="gramEnd"/>
      <w:r>
        <w:rPr>
          <w:rFonts w:eastAsia="MS Mincho"/>
        </w:rPr>
        <w:t xml:space="preserve"> but almost all peak values were caused by fast changes in production, which were caused by insolation changes. Nevertheless, all measured values were in accordance to EN 50160 and Croatian Grid Code.</w:t>
      </w:r>
    </w:p>
    <w:p w14:paraId="4AD1C48C" w14:textId="77777777" w:rsidR="00601443" w:rsidRDefault="00601443" w:rsidP="00601443">
      <w:pPr>
        <w:jc w:val="both"/>
        <w:rPr>
          <w:rFonts w:eastAsia="MS Mincho"/>
        </w:rPr>
      </w:pPr>
    </w:p>
    <w:p w14:paraId="1C9A3728" w14:textId="77777777" w:rsidR="00D13C9E" w:rsidRPr="00D4552F" w:rsidRDefault="00D13C9E" w:rsidP="00D13C9E">
      <w:pPr>
        <w:pStyle w:val="tablehead"/>
        <w:rPr>
          <w:rFonts w:eastAsia="MS Mincho"/>
        </w:rPr>
      </w:pPr>
      <w:r>
        <w:t>Results of Power Quality Measurements – PV Power Plants</w:t>
      </w:r>
    </w:p>
    <w:tbl>
      <w:tblPr>
        <w:tblW w:w="4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567"/>
        <w:gridCol w:w="567"/>
        <w:gridCol w:w="567"/>
        <w:gridCol w:w="567"/>
        <w:gridCol w:w="567"/>
        <w:gridCol w:w="567"/>
        <w:gridCol w:w="567"/>
      </w:tblGrid>
      <w:tr w:rsidR="00D13C9E" w:rsidRPr="00FC1113" w14:paraId="14D26456" w14:textId="77777777" w:rsidTr="003559D6">
        <w:trPr>
          <w:trHeight w:val="440"/>
          <w:jc w:val="center"/>
        </w:trPr>
        <w:tc>
          <w:tcPr>
            <w:tcW w:w="1005" w:type="dxa"/>
            <w:vAlign w:val="center"/>
          </w:tcPr>
          <w:p w14:paraId="6342C92E" w14:textId="77777777" w:rsidR="00D13C9E" w:rsidRPr="00FC1113" w:rsidRDefault="00D13C9E" w:rsidP="006B014B">
            <w:pPr>
              <w:rPr>
                <w:b/>
                <w:sz w:val="16"/>
                <w:szCs w:val="16"/>
                <w:lang w:val="en-GB"/>
              </w:rPr>
            </w:pPr>
          </w:p>
        </w:tc>
        <w:tc>
          <w:tcPr>
            <w:tcW w:w="3969" w:type="dxa"/>
            <w:gridSpan w:val="7"/>
            <w:vAlign w:val="center"/>
          </w:tcPr>
          <w:p w14:paraId="142CC6C6" w14:textId="77777777" w:rsidR="00D13C9E" w:rsidRPr="00FC1113" w:rsidRDefault="00D13C9E" w:rsidP="006B014B">
            <w:pPr>
              <w:rPr>
                <w:b/>
                <w:sz w:val="16"/>
                <w:szCs w:val="16"/>
                <w:lang w:val="en-GB"/>
              </w:rPr>
            </w:pPr>
            <w:r w:rsidRPr="00FC1113">
              <w:rPr>
                <w:b/>
                <w:sz w:val="16"/>
                <w:szCs w:val="16"/>
                <w:lang w:val="en-GB"/>
              </w:rPr>
              <w:t>PV POWER PLANTS</w:t>
            </w:r>
          </w:p>
        </w:tc>
      </w:tr>
      <w:tr w:rsidR="00D13C9E" w:rsidRPr="00FC1113" w14:paraId="490D20C7" w14:textId="77777777" w:rsidTr="003559D6">
        <w:trPr>
          <w:cantSplit/>
          <w:trHeight w:val="1134"/>
          <w:jc w:val="center"/>
        </w:trPr>
        <w:tc>
          <w:tcPr>
            <w:tcW w:w="1005" w:type="dxa"/>
            <w:textDirection w:val="btLr"/>
            <w:vAlign w:val="center"/>
          </w:tcPr>
          <w:p w14:paraId="665FF8E1" w14:textId="77777777" w:rsidR="00D13C9E" w:rsidRPr="00FC1113" w:rsidRDefault="00D13C9E" w:rsidP="006B014B">
            <w:pPr>
              <w:ind w:left="113" w:right="113"/>
              <w:rPr>
                <w:sz w:val="15"/>
                <w:szCs w:val="15"/>
                <w:lang w:val="en-GB"/>
              </w:rPr>
            </w:pPr>
            <w:r w:rsidRPr="00FC1113">
              <w:rPr>
                <w:sz w:val="15"/>
                <w:szCs w:val="15"/>
                <w:lang w:val="en-GB"/>
              </w:rPr>
              <w:t>Facility name</w:t>
            </w:r>
          </w:p>
        </w:tc>
        <w:tc>
          <w:tcPr>
            <w:tcW w:w="567" w:type="dxa"/>
            <w:textDirection w:val="btLr"/>
            <w:vAlign w:val="center"/>
          </w:tcPr>
          <w:p w14:paraId="0ADBAE14" w14:textId="77777777" w:rsidR="00D13C9E" w:rsidRDefault="00D13C9E" w:rsidP="006B014B">
            <w:pPr>
              <w:tabs>
                <w:tab w:val="left" w:pos="234"/>
              </w:tabs>
              <w:ind w:left="-108" w:right="113"/>
              <w:rPr>
                <w:sz w:val="15"/>
                <w:szCs w:val="15"/>
                <w:lang w:val="en-GB"/>
              </w:rPr>
            </w:pPr>
            <w:r w:rsidRPr="00FC1113">
              <w:rPr>
                <w:sz w:val="15"/>
                <w:szCs w:val="15"/>
                <w:lang w:val="en-GB"/>
              </w:rPr>
              <w:t>Nom. Power</w:t>
            </w:r>
          </w:p>
          <w:p w14:paraId="28B1DCAE" w14:textId="77777777" w:rsidR="00D13C9E" w:rsidRPr="00FC1113" w:rsidRDefault="00D13C9E" w:rsidP="006B014B">
            <w:pPr>
              <w:tabs>
                <w:tab w:val="left" w:pos="234"/>
              </w:tabs>
              <w:ind w:left="-108" w:right="113"/>
              <w:rPr>
                <w:sz w:val="15"/>
                <w:szCs w:val="15"/>
                <w:lang w:val="en-GB"/>
              </w:rPr>
            </w:pPr>
            <w:r>
              <w:rPr>
                <w:sz w:val="15"/>
                <w:szCs w:val="15"/>
                <w:lang w:val="en-GB"/>
              </w:rPr>
              <w:t>[kW]</w:t>
            </w:r>
          </w:p>
        </w:tc>
        <w:tc>
          <w:tcPr>
            <w:tcW w:w="567" w:type="dxa"/>
            <w:textDirection w:val="btLr"/>
            <w:vAlign w:val="center"/>
          </w:tcPr>
          <w:p w14:paraId="4A6BC784" w14:textId="77777777" w:rsidR="00D13C9E" w:rsidRPr="00FC1113" w:rsidRDefault="00D13C9E" w:rsidP="006B014B">
            <w:pPr>
              <w:ind w:left="113" w:right="113"/>
              <w:rPr>
                <w:sz w:val="15"/>
                <w:szCs w:val="15"/>
                <w:lang w:val="en-GB"/>
              </w:rPr>
            </w:pPr>
            <w:r w:rsidRPr="00FC1113">
              <w:rPr>
                <w:sz w:val="15"/>
                <w:szCs w:val="15"/>
                <w:lang w:val="en-GB"/>
              </w:rPr>
              <w:t>Voltage</w:t>
            </w:r>
          </w:p>
          <w:p w14:paraId="23D1F7A9" w14:textId="77777777" w:rsidR="00D13C9E" w:rsidRPr="00FC1113" w:rsidRDefault="00D13C9E" w:rsidP="006B014B">
            <w:pPr>
              <w:ind w:left="113" w:right="113"/>
              <w:rPr>
                <w:sz w:val="15"/>
                <w:szCs w:val="15"/>
                <w:lang w:val="en-GB"/>
              </w:rPr>
            </w:pPr>
            <w:r w:rsidRPr="00FC1113">
              <w:rPr>
                <w:sz w:val="15"/>
                <w:szCs w:val="15"/>
                <w:lang w:val="en-GB"/>
              </w:rPr>
              <w:t>variation</w:t>
            </w:r>
          </w:p>
        </w:tc>
        <w:tc>
          <w:tcPr>
            <w:tcW w:w="567" w:type="dxa"/>
            <w:textDirection w:val="btLr"/>
            <w:vAlign w:val="center"/>
          </w:tcPr>
          <w:p w14:paraId="4916C6AA" w14:textId="77777777" w:rsidR="00D13C9E" w:rsidRPr="00FC1113" w:rsidRDefault="00D13C9E" w:rsidP="006B014B">
            <w:pPr>
              <w:ind w:left="113" w:right="113"/>
              <w:rPr>
                <w:sz w:val="15"/>
                <w:szCs w:val="15"/>
                <w:lang w:val="en-GB"/>
              </w:rPr>
            </w:pPr>
            <w:r w:rsidRPr="00FC1113">
              <w:rPr>
                <w:sz w:val="15"/>
                <w:szCs w:val="15"/>
                <w:lang w:val="en-GB"/>
              </w:rPr>
              <w:t>Events</w:t>
            </w:r>
          </w:p>
        </w:tc>
        <w:tc>
          <w:tcPr>
            <w:tcW w:w="567" w:type="dxa"/>
            <w:textDirection w:val="btLr"/>
            <w:vAlign w:val="center"/>
          </w:tcPr>
          <w:p w14:paraId="09D05169" w14:textId="77777777" w:rsidR="00D13C9E" w:rsidRPr="00FC1113" w:rsidRDefault="00D13C9E" w:rsidP="006B014B">
            <w:pPr>
              <w:ind w:left="113" w:right="113"/>
              <w:rPr>
                <w:sz w:val="15"/>
                <w:szCs w:val="15"/>
                <w:lang w:val="en-GB"/>
              </w:rPr>
            </w:pPr>
            <w:r w:rsidRPr="00FC1113">
              <w:rPr>
                <w:sz w:val="15"/>
                <w:szCs w:val="15"/>
                <w:lang w:val="en-GB"/>
              </w:rPr>
              <w:t>Voltage</w:t>
            </w:r>
          </w:p>
          <w:p w14:paraId="17CFE0F8" w14:textId="77777777" w:rsidR="00D13C9E" w:rsidRPr="00FC1113" w:rsidRDefault="00D13C9E" w:rsidP="006B014B">
            <w:pPr>
              <w:ind w:left="113" w:right="113"/>
              <w:rPr>
                <w:sz w:val="15"/>
                <w:szCs w:val="15"/>
                <w:lang w:val="en-GB"/>
              </w:rPr>
            </w:pPr>
            <w:r w:rsidRPr="00FC1113">
              <w:rPr>
                <w:sz w:val="15"/>
                <w:szCs w:val="15"/>
                <w:lang w:val="en-GB"/>
              </w:rPr>
              <w:t>harmonics</w:t>
            </w:r>
          </w:p>
        </w:tc>
        <w:tc>
          <w:tcPr>
            <w:tcW w:w="567" w:type="dxa"/>
            <w:textDirection w:val="btLr"/>
            <w:vAlign w:val="center"/>
          </w:tcPr>
          <w:p w14:paraId="1CF649EF" w14:textId="77777777" w:rsidR="00D13C9E" w:rsidRPr="00FC1113" w:rsidRDefault="00D13C9E" w:rsidP="006B014B">
            <w:pPr>
              <w:ind w:left="113" w:right="113"/>
              <w:rPr>
                <w:sz w:val="15"/>
                <w:szCs w:val="15"/>
                <w:lang w:val="en-GB"/>
              </w:rPr>
            </w:pPr>
            <w:r w:rsidRPr="00FC1113">
              <w:rPr>
                <w:sz w:val="15"/>
                <w:szCs w:val="15"/>
                <w:lang w:val="en-GB"/>
              </w:rPr>
              <w:t>Flicker</w:t>
            </w:r>
          </w:p>
        </w:tc>
        <w:tc>
          <w:tcPr>
            <w:tcW w:w="567" w:type="dxa"/>
            <w:textDirection w:val="btLr"/>
            <w:vAlign w:val="center"/>
          </w:tcPr>
          <w:p w14:paraId="2F7F2660" w14:textId="77777777" w:rsidR="00D13C9E" w:rsidRPr="00FC1113" w:rsidRDefault="00D13C9E" w:rsidP="006B014B">
            <w:pPr>
              <w:ind w:left="113" w:right="113"/>
              <w:rPr>
                <w:sz w:val="15"/>
                <w:szCs w:val="15"/>
                <w:lang w:val="en-GB"/>
              </w:rPr>
            </w:pPr>
            <w:r w:rsidRPr="00FC1113">
              <w:rPr>
                <w:sz w:val="15"/>
                <w:szCs w:val="15"/>
                <w:lang w:val="en-GB"/>
              </w:rPr>
              <w:t>Unbalance</w:t>
            </w:r>
          </w:p>
        </w:tc>
        <w:tc>
          <w:tcPr>
            <w:tcW w:w="567" w:type="dxa"/>
            <w:textDirection w:val="btLr"/>
            <w:vAlign w:val="center"/>
          </w:tcPr>
          <w:p w14:paraId="3BEFEE77" w14:textId="77777777" w:rsidR="00D13C9E" w:rsidRPr="00FC1113" w:rsidRDefault="00D13C9E" w:rsidP="006B014B">
            <w:pPr>
              <w:ind w:left="113" w:right="113"/>
              <w:rPr>
                <w:sz w:val="15"/>
                <w:szCs w:val="15"/>
                <w:lang w:val="en-GB"/>
              </w:rPr>
            </w:pPr>
            <w:r w:rsidRPr="00FC1113">
              <w:rPr>
                <w:sz w:val="15"/>
                <w:szCs w:val="15"/>
                <w:lang w:val="en-GB"/>
              </w:rPr>
              <w:t>Line</w:t>
            </w:r>
          </w:p>
          <w:p w14:paraId="7E9C30E8" w14:textId="77777777" w:rsidR="00D13C9E" w:rsidRPr="00FC1113" w:rsidRDefault="00D13C9E" w:rsidP="006B014B">
            <w:pPr>
              <w:ind w:left="113" w:right="113"/>
              <w:rPr>
                <w:sz w:val="15"/>
                <w:szCs w:val="15"/>
                <w:lang w:val="en-GB"/>
              </w:rPr>
            </w:pPr>
            <w:r w:rsidRPr="00FC1113">
              <w:rPr>
                <w:sz w:val="15"/>
                <w:szCs w:val="15"/>
                <w:lang w:val="en-GB"/>
              </w:rPr>
              <w:t>frequency</w:t>
            </w:r>
          </w:p>
        </w:tc>
      </w:tr>
      <w:tr w:rsidR="00D13C9E" w:rsidRPr="00FC1113" w14:paraId="70CC57F8" w14:textId="77777777" w:rsidTr="00EB0D49">
        <w:trPr>
          <w:jc w:val="center"/>
        </w:trPr>
        <w:tc>
          <w:tcPr>
            <w:tcW w:w="1005" w:type="dxa"/>
            <w:vAlign w:val="center"/>
          </w:tcPr>
          <w:p w14:paraId="17AF4CBC" w14:textId="77777777" w:rsidR="00D13C9E" w:rsidRPr="00D4552F" w:rsidRDefault="00EB6651" w:rsidP="006B014B">
            <w:pPr>
              <w:rPr>
                <w:i/>
                <w:color w:val="FF0000"/>
                <w:sz w:val="15"/>
                <w:szCs w:val="15"/>
                <w:lang w:val="en-GB"/>
              </w:rPr>
            </w:pPr>
            <w:r w:rsidRPr="00EB6651">
              <w:rPr>
                <w:i/>
                <w:sz w:val="15"/>
                <w:szCs w:val="15"/>
                <w:lang w:val="en-GB"/>
              </w:rPr>
              <w:t>PV1</w:t>
            </w:r>
          </w:p>
        </w:tc>
        <w:tc>
          <w:tcPr>
            <w:tcW w:w="567" w:type="dxa"/>
            <w:vAlign w:val="center"/>
          </w:tcPr>
          <w:p w14:paraId="3B1F84FD" w14:textId="77777777" w:rsidR="00D13C9E" w:rsidRPr="00FC1113" w:rsidRDefault="00D13C9E" w:rsidP="006B014B">
            <w:pPr>
              <w:tabs>
                <w:tab w:val="left" w:pos="234"/>
              </w:tabs>
              <w:ind w:left="-108"/>
              <w:rPr>
                <w:sz w:val="15"/>
                <w:szCs w:val="15"/>
                <w:lang w:val="en-GB"/>
              </w:rPr>
            </w:pPr>
            <w:r w:rsidRPr="00FC1113">
              <w:rPr>
                <w:sz w:val="15"/>
                <w:szCs w:val="15"/>
                <w:lang w:val="en-GB"/>
              </w:rPr>
              <w:t>30</w:t>
            </w:r>
          </w:p>
        </w:tc>
        <w:tc>
          <w:tcPr>
            <w:tcW w:w="567" w:type="dxa"/>
            <w:shd w:val="clear" w:color="auto" w:fill="auto"/>
            <w:vAlign w:val="center"/>
          </w:tcPr>
          <w:p w14:paraId="433DBCB2" w14:textId="77777777" w:rsidR="00D13C9E" w:rsidRPr="00FC1113" w:rsidRDefault="00D13C9E" w:rsidP="006B014B">
            <w:pPr>
              <w:rPr>
                <w:sz w:val="15"/>
                <w:szCs w:val="15"/>
                <w:lang w:val="en-GB"/>
              </w:rPr>
            </w:pPr>
          </w:p>
        </w:tc>
        <w:tc>
          <w:tcPr>
            <w:tcW w:w="567" w:type="dxa"/>
            <w:shd w:val="clear" w:color="auto" w:fill="auto"/>
            <w:vAlign w:val="center"/>
          </w:tcPr>
          <w:p w14:paraId="327CC9E3" w14:textId="77777777" w:rsidR="00D13C9E" w:rsidRPr="00FC1113" w:rsidRDefault="00D13C9E" w:rsidP="006B014B">
            <w:pPr>
              <w:rPr>
                <w:sz w:val="15"/>
                <w:szCs w:val="15"/>
                <w:lang w:val="en-GB"/>
              </w:rPr>
            </w:pPr>
          </w:p>
        </w:tc>
        <w:tc>
          <w:tcPr>
            <w:tcW w:w="567" w:type="dxa"/>
            <w:shd w:val="clear" w:color="auto" w:fill="auto"/>
            <w:vAlign w:val="center"/>
          </w:tcPr>
          <w:p w14:paraId="7859DF68" w14:textId="77777777" w:rsidR="00D13C9E" w:rsidRPr="00FC1113" w:rsidRDefault="00D13C9E" w:rsidP="006B014B">
            <w:pPr>
              <w:rPr>
                <w:sz w:val="15"/>
                <w:szCs w:val="15"/>
                <w:lang w:val="en-GB"/>
              </w:rPr>
            </w:pPr>
          </w:p>
        </w:tc>
        <w:tc>
          <w:tcPr>
            <w:tcW w:w="567" w:type="dxa"/>
            <w:shd w:val="clear" w:color="auto" w:fill="auto"/>
            <w:vAlign w:val="center"/>
          </w:tcPr>
          <w:p w14:paraId="2ADC7FBC" w14:textId="77777777" w:rsidR="00D13C9E" w:rsidRPr="00FC1113" w:rsidRDefault="00D13C9E" w:rsidP="006B014B">
            <w:pPr>
              <w:rPr>
                <w:sz w:val="15"/>
                <w:szCs w:val="15"/>
                <w:lang w:val="en-GB"/>
              </w:rPr>
            </w:pPr>
            <w:r w:rsidRPr="00FC1113">
              <w:rPr>
                <w:sz w:val="15"/>
                <w:szCs w:val="15"/>
                <w:lang w:val="en-GB"/>
              </w:rPr>
              <w:t>-</w:t>
            </w:r>
          </w:p>
        </w:tc>
        <w:tc>
          <w:tcPr>
            <w:tcW w:w="567" w:type="dxa"/>
            <w:vAlign w:val="center"/>
          </w:tcPr>
          <w:p w14:paraId="681D18F3" w14:textId="77777777" w:rsidR="00D13C9E" w:rsidRPr="00FC1113" w:rsidRDefault="00D13C9E" w:rsidP="006B014B">
            <w:pPr>
              <w:rPr>
                <w:sz w:val="15"/>
                <w:szCs w:val="15"/>
                <w:lang w:val="en-GB"/>
              </w:rPr>
            </w:pPr>
          </w:p>
        </w:tc>
        <w:tc>
          <w:tcPr>
            <w:tcW w:w="567" w:type="dxa"/>
            <w:vAlign w:val="center"/>
          </w:tcPr>
          <w:p w14:paraId="3F531152" w14:textId="77777777" w:rsidR="00D13C9E" w:rsidRPr="00FC1113" w:rsidRDefault="00D13C9E" w:rsidP="006B014B">
            <w:pPr>
              <w:rPr>
                <w:sz w:val="16"/>
                <w:szCs w:val="16"/>
                <w:lang w:val="en-GB"/>
              </w:rPr>
            </w:pPr>
          </w:p>
        </w:tc>
      </w:tr>
      <w:tr w:rsidR="00D13C9E" w:rsidRPr="00FC1113" w14:paraId="1E7DB987" w14:textId="77777777" w:rsidTr="00EB0D49">
        <w:trPr>
          <w:jc w:val="center"/>
        </w:trPr>
        <w:tc>
          <w:tcPr>
            <w:tcW w:w="1005" w:type="dxa"/>
            <w:vAlign w:val="center"/>
          </w:tcPr>
          <w:p w14:paraId="6A57B57C" w14:textId="77777777" w:rsidR="00EB6651" w:rsidRPr="00EB6651" w:rsidRDefault="00EB6651" w:rsidP="003559D6">
            <w:pPr>
              <w:rPr>
                <w:i/>
                <w:sz w:val="15"/>
                <w:szCs w:val="15"/>
                <w:lang w:val="en-GB"/>
              </w:rPr>
            </w:pPr>
            <w:r w:rsidRPr="00EB6651">
              <w:rPr>
                <w:i/>
                <w:sz w:val="15"/>
                <w:szCs w:val="15"/>
                <w:lang w:val="en-GB"/>
              </w:rPr>
              <w:t>PV2</w:t>
            </w:r>
          </w:p>
        </w:tc>
        <w:tc>
          <w:tcPr>
            <w:tcW w:w="567" w:type="dxa"/>
            <w:shd w:val="clear" w:color="auto" w:fill="auto"/>
            <w:vAlign w:val="center"/>
          </w:tcPr>
          <w:p w14:paraId="41DA4192" w14:textId="77777777" w:rsidR="00D13C9E" w:rsidRPr="00FC1113" w:rsidRDefault="00D13C9E" w:rsidP="006B014B">
            <w:pPr>
              <w:tabs>
                <w:tab w:val="left" w:pos="234"/>
              </w:tabs>
              <w:ind w:left="-108"/>
              <w:rPr>
                <w:sz w:val="15"/>
                <w:szCs w:val="15"/>
                <w:lang w:val="en-GB"/>
              </w:rPr>
            </w:pPr>
            <w:r w:rsidRPr="00FC1113">
              <w:rPr>
                <w:sz w:val="15"/>
                <w:szCs w:val="15"/>
                <w:lang w:val="en-GB"/>
              </w:rPr>
              <w:t>10</w:t>
            </w:r>
          </w:p>
        </w:tc>
        <w:tc>
          <w:tcPr>
            <w:tcW w:w="567" w:type="dxa"/>
            <w:shd w:val="clear" w:color="auto" w:fill="auto"/>
            <w:vAlign w:val="center"/>
          </w:tcPr>
          <w:p w14:paraId="6D124A9D" w14:textId="77777777" w:rsidR="00D13C9E" w:rsidRPr="00FC1113" w:rsidRDefault="00D13C9E" w:rsidP="006B014B">
            <w:pPr>
              <w:rPr>
                <w:sz w:val="15"/>
                <w:szCs w:val="15"/>
                <w:lang w:val="en-GB"/>
              </w:rPr>
            </w:pPr>
            <w:r w:rsidRPr="00FC1113">
              <w:rPr>
                <w:sz w:val="15"/>
                <w:szCs w:val="15"/>
                <w:lang w:val="en-GB"/>
              </w:rPr>
              <w:t>+</w:t>
            </w:r>
          </w:p>
        </w:tc>
        <w:tc>
          <w:tcPr>
            <w:tcW w:w="567" w:type="dxa"/>
            <w:shd w:val="clear" w:color="auto" w:fill="auto"/>
            <w:vAlign w:val="center"/>
          </w:tcPr>
          <w:p w14:paraId="71C55B4C" w14:textId="77777777" w:rsidR="00D13C9E" w:rsidRPr="00FC1113" w:rsidRDefault="00D13C9E" w:rsidP="006B014B">
            <w:pPr>
              <w:rPr>
                <w:sz w:val="15"/>
                <w:szCs w:val="15"/>
                <w:lang w:val="en-GB"/>
              </w:rPr>
            </w:pPr>
            <w:r w:rsidRPr="00FC1113">
              <w:rPr>
                <w:sz w:val="15"/>
                <w:szCs w:val="15"/>
                <w:lang w:val="en-GB"/>
              </w:rPr>
              <w:t>+</w:t>
            </w:r>
          </w:p>
        </w:tc>
        <w:tc>
          <w:tcPr>
            <w:tcW w:w="567" w:type="dxa"/>
            <w:shd w:val="clear" w:color="auto" w:fill="auto"/>
            <w:vAlign w:val="center"/>
          </w:tcPr>
          <w:p w14:paraId="3B4C72F6" w14:textId="77777777" w:rsidR="00D13C9E" w:rsidRPr="00FC1113" w:rsidRDefault="00D13C9E" w:rsidP="006B014B">
            <w:pPr>
              <w:rPr>
                <w:sz w:val="15"/>
                <w:szCs w:val="15"/>
                <w:lang w:val="en-GB"/>
              </w:rPr>
            </w:pPr>
            <w:r w:rsidRPr="00FC1113">
              <w:rPr>
                <w:sz w:val="15"/>
                <w:szCs w:val="15"/>
                <w:lang w:val="en-GB"/>
              </w:rPr>
              <w:t>+</w:t>
            </w:r>
          </w:p>
        </w:tc>
        <w:tc>
          <w:tcPr>
            <w:tcW w:w="567" w:type="dxa"/>
            <w:shd w:val="clear" w:color="auto" w:fill="auto"/>
            <w:vAlign w:val="center"/>
          </w:tcPr>
          <w:p w14:paraId="7EE3270C" w14:textId="77777777" w:rsidR="00D13C9E" w:rsidRPr="00FC1113" w:rsidRDefault="00D13C9E" w:rsidP="006B014B">
            <w:pPr>
              <w:rPr>
                <w:sz w:val="15"/>
                <w:szCs w:val="15"/>
                <w:lang w:val="en-GB"/>
              </w:rPr>
            </w:pPr>
            <w:r w:rsidRPr="00FC1113">
              <w:rPr>
                <w:sz w:val="15"/>
                <w:szCs w:val="15"/>
                <w:lang w:val="en-GB"/>
              </w:rPr>
              <w:t>+</w:t>
            </w:r>
          </w:p>
        </w:tc>
        <w:tc>
          <w:tcPr>
            <w:tcW w:w="567" w:type="dxa"/>
            <w:vAlign w:val="center"/>
          </w:tcPr>
          <w:p w14:paraId="6B5DF5D6" w14:textId="77777777" w:rsidR="00D13C9E" w:rsidRPr="00FC1113" w:rsidRDefault="00D13C9E" w:rsidP="006B014B">
            <w:pPr>
              <w:rPr>
                <w:sz w:val="15"/>
                <w:szCs w:val="15"/>
                <w:lang w:val="en-GB"/>
              </w:rPr>
            </w:pPr>
          </w:p>
        </w:tc>
        <w:tc>
          <w:tcPr>
            <w:tcW w:w="567" w:type="dxa"/>
            <w:vAlign w:val="center"/>
          </w:tcPr>
          <w:p w14:paraId="0EAD03F6" w14:textId="77777777" w:rsidR="00D13C9E" w:rsidRPr="00FC1113" w:rsidRDefault="00D13C9E" w:rsidP="006B014B">
            <w:pPr>
              <w:rPr>
                <w:sz w:val="16"/>
                <w:szCs w:val="16"/>
                <w:lang w:val="en-GB"/>
              </w:rPr>
            </w:pPr>
          </w:p>
        </w:tc>
      </w:tr>
      <w:tr w:rsidR="00D13C9E" w:rsidRPr="00FC1113" w14:paraId="6C0A0957" w14:textId="77777777" w:rsidTr="00EB0D49">
        <w:trPr>
          <w:jc w:val="center"/>
        </w:trPr>
        <w:tc>
          <w:tcPr>
            <w:tcW w:w="1005" w:type="dxa"/>
            <w:vAlign w:val="center"/>
          </w:tcPr>
          <w:p w14:paraId="58433C9E" w14:textId="77777777" w:rsidR="00EB6651" w:rsidRPr="00EB6651" w:rsidRDefault="00EB6651" w:rsidP="003559D6">
            <w:pPr>
              <w:rPr>
                <w:i/>
                <w:sz w:val="15"/>
                <w:szCs w:val="15"/>
                <w:lang w:val="en-GB"/>
              </w:rPr>
            </w:pPr>
            <w:r w:rsidRPr="00EB6651">
              <w:rPr>
                <w:i/>
                <w:sz w:val="15"/>
                <w:szCs w:val="15"/>
                <w:lang w:val="en-GB"/>
              </w:rPr>
              <w:t>PV3</w:t>
            </w:r>
          </w:p>
        </w:tc>
        <w:tc>
          <w:tcPr>
            <w:tcW w:w="567" w:type="dxa"/>
            <w:vAlign w:val="center"/>
          </w:tcPr>
          <w:p w14:paraId="26796BAA" w14:textId="77777777" w:rsidR="00D13C9E" w:rsidRPr="00FC1113" w:rsidRDefault="00D13C9E" w:rsidP="006B014B">
            <w:pPr>
              <w:tabs>
                <w:tab w:val="left" w:pos="234"/>
              </w:tabs>
              <w:ind w:left="-108"/>
              <w:rPr>
                <w:sz w:val="15"/>
                <w:szCs w:val="15"/>
                <w:lang w:val="en-GB"/>
              </w:rPr>
            </w:pPr>
            <w:r w:rsidRPr="00FC1113">
              <w:rPr>
                <w:sz w:val="15"/>
                <w:szCs w:val="15"/>
                <w:lang w:val="en-GB"/>
              </w:rPr>
              <w:t>200</w:t>
            </w:r>
          </w:p>
        </w:tc>
        <w:tc>
          <w:tcPr>
            <w:tcW w:w="567" w:type="dxa"/>
            <w:shd w:val="clear" w:color="auto" w:fill="auto"/>
            <w:vAlign w:val="center"/>
          </w:tcPr>
          <w:p w14:paraId="1B2432AD" w14:textId="77777777" w:rsidR="00D13C9E" w:rsidRPr="00FC1113" w:rsidRDefault="00D13C9E" w:rsidP="006B014B">
            <w:pPr>
              <w:rPr>
                <w:sz w:val="15"/>
                <w:szCs w:val="15"/>
                <w:lang w:val="en-GB"/>
              </w:rPr>
            </w:pPr>
          </w:p>
        </w:tc>
        <w:tc>
          <w:tcPr>
            <w:tcW w:w="567" w:type="dxa"/>
            <w:shd w:val="clear" w:color="auto" w:fill="auto"/>
            <w:vAlign w:val="center"/>
          </w:tcPr>
          <w:p w14:paraId="56B8C920" w14:textId="77777777" w:rsidR="00D13C9E" w:rsidRPr="00FC1113" w:rsidRDefault="00D13C9E" w:rsidP="006B014B">
            <w:pPr>
              <w:rPr>
                <w:sz w:val="15"/>
                <w:szCs w:val="15"/>
                <w:lang w:val="en-GB"/>
              </w:rPr>
            </w:pPr>
          </w:p>
        </w:tc>
        <w:tc>
          <w:tcPr>
            <w:tcW w:w="567" w:type="dxa"/>
            <w:shd w:val="clear" w:color="auto" w:fill="auto"/>
            <w:vAlign w:val="center"/>
          </w:tcPr>
          <w:p w14:paraId="0A08A5E6" w14:textId="77777777" w:rsidR="00D13C9E" w:rsidRPr="00FC1113" w:rsidRDefault="00D13C9E" w:rsidP="006B014B">
            <w:pPr>
              <w:rPr>
                <w:sz w:val="15"/>
                <w:szCs w:val="15"/>
                <w:lang w:val="en-GB"/>
              </w:rPr>
            </w:pPr>
          </w:p>
        </w:tc>
        <w:tc>
          <w:tcPr>
            <w:tcW w:w="567" w:type="dxa"/>
            <w:shd w:val="clear" w:color="auto" w:fill="auto"/>
            <w:vAlign w:val="center"/>
          </w:tcPr>
          <w:p w14:paraId="08D110CB" w14:textId="77777777" w:rsidR="00D13C9E" w:rsidRPr="00FC1113" w:rsidRDefault="00D13C9E" w:rsidP="006B014B">
            <w:pPr>
              <w:rPr>
                <w:sz w:val="15"/>
                <w:szCs w:val="15"/>
                <w:lang w:val="en-GB"/>
              </w:rPr>
            </w:pPr>
            <w:r w:rsidRPr="00FC1113">
              <w:rPr>
                <w:sz w:val="15"/>
                <w:szCs w:val="15"/>
                <w:lang w:val="en-GB"/>
              </w:rPr>
              <w:t>-</w:t>
            </w:r>
          </w:p>
        </w:tc>
        <w:tc>
          <w:tcPr>
            <w:tcW w:w="567" w:type="dxa"/>
            <w:vAlign w:val="center"/>
          </w:tcPr>
          <w:p w14:paraId="577E03FA" w14:textId="77777777" w:rsidR="00D13C9E" w:rsidRPr="00FC1113" w:rsidRDefault="00D13C9E" w:rsidP="006B014B">
            <w:pPr>
              <w:rPr>
                <w:sz w:val="15"/>
                <w:szCs w:val="15"/>
                <w:lang w:val="en-GB"/>
              </w:rPr>
            </w:pPr>
          </w:p>
        </w:tc>
        <w:tc>
          <w:tcPr>
            <w:tcW w:w="567" w:type="dxa"/>
            <w:vAlign w:val="center"/>
          </w:tcPr>
          <w:p w14:paraId="186B6B8F" w14:textId="77777777" w:rsidR="00D13C9E" w:rsidRPr="00FC1113" w:rsidRDefault="00D13C9E" w:rsidP="006B014B">
            <w:pPr>
              <w:rPr>
                <w:sz w:val="16"/>
                <w:szCs w:val="16"/>
                <w:lang w:val="en-GB"/>
              </w:rPr>
            </w:pPr>
          </w:p>
        </w:tc>
      </w:tr>
      <w:tr w:rsidR="00D13C9E" w:rsidRPr="00FC1113" w14:paraId="70EBFB65" w14:textId="77777777" w:rsidTr="00EB0D49">
        <w:trPr>
          <w:jc w:val="center"/>
        </w:trPr>
        <w:tc>
          <w:tcPr>
            <w:tcW w:w="1005" w:type="dxa"/>
            <w:vAlign w:val="center"/>
          </w:tcPr>
          <w:p w14:paraId="581537E1" w14:textId="77777777" w:rsidR="00EB6651" w:rsidRPr="00D4552F" w:rsidRDefault="00EB6651" w:rsidP="00EB6651">
            <w:pPr>
              <w:rPr>
                <w:i/>
                <w:color w:val="FF0000"/>
                <w:sz w:val="15"/>
                <w:szCs w:val="15"/>
                <w:lang w:val="en-GB"/>
              </w:rPr>
            </w:pPr>
            <w:r w:rsidRPr="00EB6651">
              <w:rPr>
                <w:i/>
                <w:sz w:val="15"/>
                <w:szCs w:val="15"/>
                <w:lang w:val="en-GB"/>
              </w:rPr>
              <w:t>PV4</w:t>
            </w:r>
          </w:p>
        </w:tc>
        <w:tc>
          <w:tcPr>
            <w:tcW w:w="567" w:type="dxa"/>
            <w:vAlign w:val="center"/>
          </w:tcPr>
          <w:p w14:paraId="410D9485" w14:textId="77777777" w:rsidR="00D13C9E" w:rsidRPr="00FC1113" w:rsidRDefault="00D13C9E" w:rsidP="006B014B">
            <w:pPr>
              <w:tabs>
                <w:tab w:val="left" w:pos="234"/>
              </w:tabs>
              <w:ind w:left="-108"/>
              <w:rPr>
                <w:sz w:val="15"/>
                <w:szCs w:val="15"/>
                <w:lang w:val="en-GB"/>
              </w:rPr>
            </w:pPr>
            <w:r w:rsidRPr="00FC1113">
              <w:rPr>
                <w:sz w:val="15"/>
                <w:szCs w:val="15"/>
                <w:lang w:val="en-GB"/>
              </w:rPr>
              <w:t>10</w:t>
            </w:r>
          </w:p>
        </w:tc>
        <w:tc>
          <w:tcPr>
            <w:tcW w:w="567" w:type="dxa"/>
            <w:shd w:val="clear" w:color="auto" w:fill="auto"/>
            <w:vAlign w:val="center"/>
          </w:tcPr>
          <w:p w14:paraId="41078DBB" w14:textId="77777777" w:rsidR="00D13C9E" w:rsidRPr="00FC1113" w:rsidRDefault="00D13C9E" w:rsidP="006B014B">
            <w:pPr>
              <w:rPr>
                <w:sz w:val="15"/>
                <w:szCs w:val="15"/>
                <w:lang w:val="en-GB"/>
              </w:rPr>
            </w:pPr>
          </w:p>
        </w:tc>
        <w:tc>
          <w:tcPr>
            <w:tcW w:w="567" w:type="dxa"/>
            <w:shd w:val="clear" w:color="auto" w:fill="auto"/>
            <w:vAlign w:val="center"/>
          </w:tcPr>
          <w:p w14:paraId="59D5097C" w14:textId="77777777" w:rsidR="00D13C9E" w:rsidRPr="00FC1113" w:rsidRDefault="00D13C9E" w:rsidP="006B014B">
            <w:pPr>
              <w:rPr>
                <w:sz w:val="15"/>
                <w:szCs w:val="15"/>
                <w:lang w:val="en-GB"/>
              </w:rPr>
            </w:pPr>
            <w:r w:rsidRPr="00FC1113">
              <w:rPr>
                <w:sz w:val="15"/>
                <w:szCs w:val="15"/>
                <w:lang w:val="en-GB"/>
              </w:rPr>
              <w:t>+</w:t>
            </w:r>
          </w:p>
        </w:tc>
        <w:tc>
          <w:tcPr>
            <w:tcW w:w="567" w:type="dxa"/>
            <w:shd w:val="clear" w:color="auto" w:fill="auto"/>
            <w:vAlign w:val="center"/>
          </w:tcPr>
          <w:p w14:paraId="5CD9CFFC" w14:textId="77777777" w:rsidR="00D13C9E" w:rsidRPr="00FC1113" w:rsidRDefault="00D13C9E" w:rsidP="006B014B">
            <w:pPr>
              <w:rPr>
                <w:sz w:val="15"/>
                <w:szCs w:val="15"/>
                <w:lang w:val="en-GB"/>
              </w:rPr>
            </w:pPr>
          </w:p>
        </w:tc>
        <w:tc>
          <w:tcPr>
            <w:tcW w:w="567" w:type="dxa"/>
            <w:shd w:val="clear" w:color="auto" w:fill="auto"/>
            <w:vAlign w:val="center"/>
          </w:tcPr>
          <w:p w14:paraId="2B0CCCA4" w14:textId="77777777" w:rsidR="00D13C9E" w:rsidRPr="00FC1113" w:rsidRDefault="00D13C9E" w:rsidP="006B014B">
            <w:pPr>
              <w:rPr>
                <w:sz w:val="15"/>
                <w:szCs w:val="15"/>
                <w:lang w:val="en-GB"/>
              </w:rPr>
            </w:pPr>
            <w:r w:rsidRPr="00FC1113">
              <w:rPr>
                <w:sz w:val="15"/>
                <w:szCs w:val="15"/>
                <w:lang w:val="en-GB"/>
              </w:rPr>
              <w:t>+</w:t>
            </w:r>
          </w:p>
        </w:tc>
        <w:tc>
          <w:tcPr>
            <w:tcW w:w="567" w:type="dxa"/>
            <w:vAlign w:val="center"/>
          </w:tcPr>
          <w:p w14:paraId="25137E1B" w14:textId="77777777" w:rsidR="00D13C9E" w:rsidRPr="00FC1113" w:rsidRDefault="00D13C9E" w:rsidP="006B014B">
            <w:pPr>
              <w:rPr>
                <w:sz w:val="15"/>
                <w:szCs w:val="15"/>
                <w:lang w:val="en-GB"/>
              </w:rPr>
            </w:pPr>
          </w:p>
        </w:tc>
        <w:tc>
          <w:tcPr>
            <w:tcW w:w="567" w:type="dxa"/>
            <w:vAlign w:val="center"/>
          </w:tcPr>
          <w:p w14:paraId="77D99311" w14:textId="77777777" w:rsidR="00D13C9E" w:rsidRPr="00FC1113" w:rsidRDefault="00D13C9E" w:rsidP="006B014B">
            <w:pPr>
              <w:rPr>
                <w:sz w:val="16"/>
                <w:szCs w:val="16"/>
                <w:lang w:val="en-GB"/>
              </w:rPr>
            </w:pPr>
          </w:p>
        </w:tc>
      </w:tr>
      <w:tr w:rsidR="00D13C9E" w:rsidRPr="00FC1113" w14:paraId="7968B26C" w14:textId="77777777" w:rsidTr="00EB0D49">
        <w:trPr>
          <w:jc w:val="center"/>
        </w:trPr>
        <w:tc>
          <w:tcPr>
            <w:tcW w:w="1005" w:type="dxa"/>
            <w:vAlign w:val="center"/>
          </w:tcPr>
          <w:p w14:paraId="28183439" w14:textId="77777777" w:rsidR="00D13C9E" w:rsidRPr="00D4552F" w:rsidRDefault="00EB6651" w:rsidP="006B014B">
            <w:pPr>
              <w:rPr>
                <w:i/>
                <w:color w:val="FF0000"/>
                <w:sz w:val="15"/>
                <w:szCs w:val="15"/>
                <w:lang w:val="en-GB"/>
              </w:rPr>
            </w:pPr>
            <w:r w:rsidRPr="00EB6651">
              <w:rPr>
                <w:i/>
                <w:sz w:val="15"/>
                <w:szCs w:val="15"/>
                <w:lang w:val="en-GB"/>
              </w:rPr>
              <w:t>PV5</w:t>
            </w:r>
          </w:p>
        </w:tc>
        <w:tc>
          <w:tcPr>
            <w:tcW w:w="567" w:type="dxa"/>
            <w:shd w:val="clear" w:color="auto" w:fill="auto"/>
            <w:vAlign w:val="center"/>
          </w:tcPr>
          <w:p w14:paraId="43984327" w14:textId="77777777" w:rsidR="00D13C9E" w:rsidRPr="00FC1113" w:rsidRDefault="00D13C9E" w:rsidP="006B014B">
            <w:pPr>
              <w:tabs>
                <w:tab w:val="left" w:pos="234"/>
              </w:tabs>
              <w:ind w:left="-108"/>
              <w:rPr>
                <w:sz w:val="15"/>
                <w:szCs w:val="15"/>
                <w:lang w:val="en-GB"/>
              </w:rPr>
            </w:pPr>
            <w:r w:rsidRPr="00FC1113">
              <w:rPr>
                <w:sz w:val="15"/>
                <w:szCs w:val="15"/>
                <w:lang w:val="en-GB"/>
              </w:rPr>
              <w:t>30</w:t>
            </w:r>
          </w:p>
        </w:tc>
        <w:tc>
          <w:tcPr>
            <w:tcW w:w="567" w:type="dxa"/>
            <w:shd w:val="clear" w:color="auto" w:fill="auto"/>
            <w:vAlign w:val="center"/>
          </w:tcPr>
          <w:p w14:paraId="4354FDD8" w14:textId="77777777" w:rsidR="00D13C9E" w:rsidRPr="00FC1113" w:rsidRDefault="00D13C9E" w:rsidP="006B014B">
            <w:pPr>
              <w:rPr>
                <w:sz w:val="15"/>
                <w:szCs w:val="15"/>
                <w:lang w:val="en-GB"/>
              </w:rPr>
            </w:pPr>
            <w:r w:rsidRPr="00FC1113">
              <w:rPr>
                <w:sz w:val="15"/>
                <w:szCs w:val="15"/>
                <w:lang w:val="en-GB"/>
              </w:rPr>
              <w:t>-</w:t>
            </w:r>
          </w:p>
        </w:tc>
        <w:tc>
          <w:tcPr>
            <w:tcW w:w="567" w:type="dxa"/>
            <w:shd w:val="clear" w:color="auto" w:fill="auto"/>
            <w:vAlign w:val="center"/>
          </w:tcPr>
          <w:p w14:paraId="2E9B16AB" w14:textId="77777777" w:rsidR="00D13C9E" w:rsidRPr="00FC1113" w:rsidRDefault="00D13C9E" w:rsidP="006B014B">
            <w:pPr>
              <w:rPr>
                <w:sz w:val="15"/>
                <w:szCs w:val="15"/>
                <w:lang w:val="en-GB"/>
              </w:rPr>
            </w:pPr>
          </w:p>
        </w:tc>
        <w:tc>
          <w:tcPr>
            <w:tcW w:w="567" w:type="dxa"/>
            <w:shd w:val="clear" w:color="auto" w:fill="auto"/>
            <w:vAlign w:val="center"/>
          </w:tcPr>
          <w:p w14:paraId="0EC177BD" w14:textId="77777777" w:rsidR="00D13C9E" w:rsidRPr="00FC1113" w:rsidRDefault="00D13C9E" w:rsidP="006B014B">
            <w:pPr>
              <w:rPr>
                <w:sz w:val="15"/>
                <w:szCs w:val="15"/>
                <w:lang w:val="en-GB"/>
              </w:rPr>
            </w:pPr>
          </w:p>
        </w:tc>
        <w:tc>
          <w:tcPr>
            <w:tcW w:w="567" w:type="dxa"/>
            <w:shd w:val="clear" w:color="auto" w:fill="auto"/>
            <w:vAlign w:val="center"/>
          </w:tcPr>
          <w:p w14:paraId="2F1B4A6E" w14:textId="77777777" w:rsidR="00D13C9E" w:rsidRPr="00FC1113" w:rsidRDefault="00D13C9E" w:rsidP="006B014B">
            <w:pPr>
              <w:rPr>
                <w:sz w:val="15"/>
                <w:szCs w:val="15"/>
                <w:lang w:val="en-GB"/>
              </w:rPr>
            </w:pPr>
          </w:p>
        </w:tc>
        <w:tc>
          <w:tcPr>
            <w:tcW w:w="567" w:type="dxa"/>
            <w:vAlign w:val="center"/>
          </w:tcPr>
          <w:p w14:paraId="45031D5A" w14:textId="77777777" w:rsidR="00D13C9E" w:rsidRPr="00FC1113" w:rsidRDefault="00D13C9E" w:rsidP="006B014B">
            <w:pPr>
              <w:rPr>
                <w:sz w:val="15"/>
                <w:szCs w:val="15"/>
                <w:lang w:val="en-GB"/>
              </w:rPr>
            </w:pPr>
          </w:p>
        </w:tc>
        <w:tc>
          <w:tcPr>
            <w:tcW w:w="567" w:type="dxa"/>
            <w:vAlign w:val="center"/>
          </w:tcPr>
          <w:p w14:paraId="2389D2CC" w14:textId="77777777" w:rsidR="00D13C9E" w:rsidRPr="00FC1113" w:rsidRDefault="00D13C9E" w:rsidP="006B014B">
            <w:pPr>
              <w:rPr>
                <w:sz w:val="16"/>
                <w:szCs w:val="16"/>
                <w:lang w:val="en-GB"/>
              </w:rPr>
            </w:pPr>
          </w:p>
        </w:tc>
      </w:tr>
      <w:tr w:rsidR="00D13C9E" w:rsidRPr="00FC1113" w14:paraId="3AAD96E8" w14:textId="77777777" w:rsidTr="00EB0D49">
        <w:trPr>
          <w:jc w:val="center"/>
        </w:trPr>
        <w:tc>
          <w:tcPr>
            <w:tcW w:w="1005" w:type="dxa"/>
            <w:vAlign w:val="center"/>
          </w:tcPr>
          <w:p w14:paraId="4091E307" w14:textId="77777777" w:rsidR="00D13C9E" w:rsidRPr="00D4552F" w:rsidRDefault="00EB6651" w:rsidP="006B014B">
            <w:pPr>
              <w:rPr>
                <w:i/>
                <w:color w:val="FF0000"/>
                <w:sz w:val="15"/>
                <w:szCs w:val="15"/>
                <w:lang w:val="en-GB"/>
              </w:rPr>
            </w:pPr>
            <w:r w:rsidRPr="00EB6651">
              <w:rPr>
                <w:i/>
                <w:sz w:val="15"/>
                <w:szCs w:val="15"/>
                <w:lang w:val="en-GB"/>
              </w:rPr>
              <w:t>PV6</w:t>
            </w:r>
          </w:p>
        </w:tc>
        <w:tc>
          <w:tcPr>
            <w:tcW w:w="567" w:type="dxa"/>
            <w:vAlign w:val="center"/>
          </w:tcPr>
          <w:p w14:paraId="37BF5EE2" w14:textId="77777777" w:rsidR="00D13C9E" w:rsidRPr="00FC1113" w:rsidRDefault="00D13C9E" w:rsidP="006B014B">
            <w:pPr>
              <w:tabs>
                <w:tab w:val="left" w:pos="234"/>
              </w:tabs>
              <w:ind w:left="-108"/>
              <w:rPr>
                <w:sz w:val="15"/>
                <w:szCs w:val="15"/>
                <w:lang w:val="en-GB"/>
              </w:rPr>
            </w:pPr>
            <w:r w:rsidRPr="00FC1113">
              <w:rPr>
                <w:sz w:val="15"/>
                <w:szCs w:val="15"/>
                <w:lang w:val="en-GB"/>
              </w:rPr>
              <w:t>30</w:t>
            </w:r>
          </w:p>
        </w:tc>
        <w:tc>
          <w:tcPr>
            <w:tcW w:w="567" w:type="dxa"/>
            <w:shd w:val="clear" w:color="auto" w:fill="auto"/>
            <w:vAlign w:val="center"/>
          </w:tcPr>
          <w:p w14:paraId="43A7C7B0" w14:textId="77777777" w:rsidR="00D13C9E" w:rsidRPr="00FC1113" w:rsidRDefault="00D13C9E" w:rsidP="006B014B">
            <w:pPr>
              <w:rPr>
                <w:sz w:val="15"/>
                <w:szCs w:val="15"/>
                <w:lang w:val="en-GB"/>
              </w:rPr>
            </w:pPr>
          </w:p>
        </w:tc>
        <w:tc>
          <w:tcPr>
            <w:tcW w:w="567" w:type="dxa"/>
            <w:shd w:val="clear" w:color="auto" w:fill="auto"/>
            <w:vAlign w:val="center"/>
          </w:tcPr>
          <w:p w14:paraId="16A47EA3" w14:textId="77777777" w:rsidR="00D13C9E" w:rsidRPr="00FC1113" w:rsidRDefault="00D13C9E" w:rsidP="006B014B">
            <w:pPr>
              <w:rPr>
                <w:sz w:val="15"/>
                <w:szCs w:val="15"/>
                <w:lang w:val="en-GB"/>
              </w:rPr>
            </w:pPr>
          </w:p>
        </w:tc>
        <w:tc>
          <w:tcPr>
            <w:tcW w:w="567" w:type="dxa"/>
            <w:shd w:val="clear" w:color="auto" w:fill="auto"/>
            <w:vAlign w:val="center"/>
          </w:tcPr>
          <w:p w14:paraId="3F9AE292" w14:textId="77777777" w:rsidR="00D13C9E" w:rsidRPr="00FC1113" w:rsidRDefault="00D13C9E" w:rsidP="006B014B">
            <w:pPr>
              <w:rPr>
                <w:sz w:val="15"/>
                <w:szCs w:val="15"/>
                <w:lang w:val="en-GB"/>
              </w:rPr>
            </w:pPr>
          </w:p>
        </w:tc>
        <w:tc>
          <w:tcPr>
            <w:tcW w:w="567" w:type="dxa"/>
            <w:shd w:val="clear" w:color="auto" w:fill="auto"/>
            <w:vAlign w:val="center"/>
          </w:tcPr>
          <w:p w14:paraId="33F2CD16" w14:textId="77777777" w:rsidR="00D13C9E" w:rsidRPr="00FC1113" w:rsidRDefault="00D13C9E" w:rsidP="006B014B">
            <w:pPr>
              <w:rPr>
                <w:sz w:val="15"/>
                <w:szCs w:val="15"/>
                <w:lang w:val="en-GB"/>
              </w:rPr>
            </w:pPr>
            <w:r w:rsidRPr="00FC1113">
              <w:rPr>
                <w:sz w:val="15"/>
                <w:szCs w:val="15"/>
                <w:lang w:val="en-GB"/>
              </w:rPr>
              <w:t>+</w:t>
            </w:r>
          </w:p>
        </w:tc>
        <w:tc>
          <w:tcPr>
            <w:tcW w:w="567" w:type="dxa"/>
            <w:vAlign w:val="center"/>
          </w:tcPr>
          <w:p w14:paraId="04B29ADD" w14:textId="77777777" w:rsidR="00D13C9E" w:rsidRPr="00FC1113" w:rsidRDefault="00D13C9E" w:rsidP="006B014B">
            <w:pPr>
              <w:rPr>
                <w:sz w:val="15"/>
                <w:szCs w:val="15"/>
                <w:lang w:val="en-GB"/>
              </w:rPr>
            </w:pPr>
          </w:p>
        </w:tc>
        <w:tc>
          <w:tcPr>
            <w:tcW w:w="567" w:type="dxa"/>
            <w:vAlign w:val="center"/>
          </w:tcPr>
          <w:p w14:paraId="52EBC9E7" w14:textId="77777777" w:rsidR="00D13C9E" w:rsidRPr="00FC1113" w:rsidRDefault="00D13C9E" w:rsidP="006B014B">
            <w:pPr>
              <w:rPr>
                <w:sz w:val="16"/>
                <w:szCs w:val="16"/>
                <w:lang w:val="en-GB"/>
              </w:rPr>
            </w:pPr>
          </w:p>
        </w:tc>
      </w:tr>
      <w:tr w:rsidR="000C7191" w:rsidRPr="00FC1113" w14:paraId="59633152" w14:textId="77777777" w:rsidTr="00EB0D49">
        <w:trPr>
          <w:jc w:val="center"/>
        </w:trPr>
        <w:tc>
          <w:tcPr>
            <w:tcW w:w="1005" w:type="dxa"/>
            <w:vAlign w:val="center"/>
          </w:tcPr>
          <w:p w14:paraId="30832304" w14:textId="77777777" w:rsidR="000C7191" w:rsidRPr="00D4552F" w:rsidRDefault="00EB6651" w:rsidP="006B014B">
            <w:pPr>
              <w:rPr>
                <w:i/>
                <w:color w:val="FF0000"/>
                <w:sz w:val="15"/>
                <w:szCs w:val="15"/>
                <w:lang w:val="en-GB"/>
              </w:rPr>
            </w:pPr>
            <w:r w:rsidRPr="00EB6651">
              <w:rPr>
                <w:i/>
                <w:sz w:val="15"/>
                <w:szCs w:val="15"/>
                <w:lang w:val="en-GB"/>
              </w:rPr>
              <w:t>PV7</w:t>
            </w:r>
          </w:p>
        </w:tc>
        <w:tc>
          <w:tcPr>
            <w:tcW w:w="567" w:type="dxa"/>
            <w:vAlign w:val="center"/>
          </w:tcPr>
          <w:p w14:paraId="31E31709" w14:textId="77777777" w:rsidR="000C7191" w:rsidRPr="00FC1113" w:rsidRDefault="000C7191" w:rsidP="006B014B">
            <w:pPr>
              <w:tabs>
                <w:tab w:val="left" w:pos="234"/>
              </w:tabs>
              <w:ind w:left="-108"/>
              <w:rPr>
                <w:sz w:val="15"/>
                <w:szCs w:val="15"/>
                <w:lang w:val="en-GB"/>
              </w:rPr>
            </w:pPr>
            <w:r>
              <w:rPr>
                <w:sz w:val="15"/>
                <w:szCs w:val="15"/>
                <w:lang w:val="en-GB"/>
              </w:rPr>
              <w:t>300</w:t>
            </w:r>
          </w:p>
        </w:tc>
        <w:tc>
          <w:tcPr>
            <w:tcW w:w="567" w:type="dxa"/>
            <w:shd w:val="clear" w:color="auto" w:fill="auto"/>
            <w:vAlign w:val="center"/>
          </w:tcPr>
          <w:p w14:paraId="6FF79227" w14:textId="77777777" w:rsidR="000C7191" w:rsidRPr="00FC1113" w:rsidRDefault="000C7191" w:rsidP="006B014B">
            <w:pPr>
              <w:rPr>
                <w:sz w:val="15"/>
                <w:szCs w:val="15"/>
                <w:lang w:val="en-GB"/>
              </w:rPr>
            </w:pPr>
          </w:p>
        </w:tc>
        <w:tc>
          <w:tcPr>
            <w:tcW w:w="567" w:type="dxa"/>
            <w:shd w:val="clear" w:color="auto" w:fill="auto"/>
            <w:vAlign w:val="center"/>
          </w:tcPr>
          <w:p w14:paraId="07AED2DD" w14:textId="77777777" w:rsidR="000C7191" w:rsidRDefault="000C7191" w:rsidP="006B014B">
            <w:pPr>
              <w:rPr>
                <w:sz w:val="15"/>
                <w:szCs w:val="15"/>
                <w:lang w:val="en-GB"/>
              </w:rPr>
            </w:pPr>
          </w:p>
        </w:tc>
        <w:tc>
          <w:tcPr>
            <w:tcW w:w="567" w:type="dxa"/>
            <w:shd w:val="clear" w:color="auto" w:fill="auto"/>
            <w:vAlign w:val="center"/>
          </w:tcPr>
          <w:p w14:paraId="58DC22F4" w14:textId="77777777" w:rsidR="000C7191" w:rsidRPr="00FC1113" w:rsidRDefault="000C7191" w:rsidP="006B014B">
            <w:pPr>
              <w:rPr>
                <w:sz w:val="15"/>
                <w:szCs w:val="15"/>
                <w:lang w:val="en-GB"/>
              </w:rPr>
            </w:pPr>
          </w:p>
        </w:tc>
        <w:tc>
          <w:tcPr>
            <w:tcW w:w="567" w:type="dxa"/>
            <w:shd w:val="clear" w:color="auto" w:fill="auto"/>
            <w:vAlign w:val="center"/>
          </w:tcPr>
          <w:p w14:paraId="1035CD1A" w14:textId="77777777" w:rsidR="000C7191" w:rsidRPr="00FC1113" w:rsidRDefault="003631FD" w:rsidP="006B014B">
            <w:pPr>
              <w:rPr>
                <w:sz w:val="15"/>
                <w:szCs w:val="15"/>
                <w:lang w:val="en-GB"/>
              </w:rPr>
            </w:pPr>
            <w:r>
              <w:rPr>
                <w:sz w:val="15"/>
                <w:szCs w:val="15"/>
                <w:lang w:val="en-GB"/>
              </w:rPr>
              <w:t>-</w:t>
            </w:r>
          </w:p>
        </w:tc>
        <w:tc>
          <w:tcPr>
            <w:tcW w:w="567" w:type="dxa"/>
            <w:vAlign w:val="center"/>
          </w:tcPr>
          <w:p w14:paraId="7B0A057B" w14:textId="77777777" w:rsidR="000C7191" w:rsidRPr="00FC1113" w:rsidRDefault="000C7191" w:rsidP="006B014B">
            <w:pPr>
              <w:rPr>
                <w:sz w:val="15"/>
                <w:szCs w:val="15"/>
                <w:lang w:val="en-GB"/>
              </w:rPr>
            </w:pPr>
          </w:p>
        </w:tc>
        <w:tc>
          <w:tcPr>
            <w:tcW w:w="567" w:type="dxa"/>
            <w:vAlign w:val="center"/>
          </w:tcPr>
          <w:p w14:paraId="4A8131E0" w14:textId="77777777" w:rsidR="000C7191" w:rsidRPr="00FC1113" w:rsidRDefault="000C7191" w:rsidP="006B014B">
            <w:pPr>
              <w:rPr>
                <w:sz w:val="16"/>
                <w:szCs w:val="16"/>
                <w:lang w:val="en-GB"/>
              </w:rPr>
            </w:pPr>
          </w:p>
        </w:tc>
      </w:tr>
    </w:tbl>
    <w:p w14:paraId="01182C51" w14:textId="77777777" w:rsidR="00601443" w:rsidRDefault="00601443" w:rsidP="00D13C9E">
      <w:pPr>
        <w:jc w:val="both"/>
        <w:rPr>
          <w:rFonts w:eastAsia="MS Mincho"/>
        </w:rPr>
      </w:pPr>
    </w:p>
    <w:p w14:paraId="52F07A05" w14:textId="77777777" w:rsidR="00382557" w:rsidRDefault="00382557" w:rsidP="00D13C9E">
      <w:pPr>
        <w:ind w:firstLine="284"/>
        <w:jc w:val="both"/>
        <w:rPr>
          <w:rFonts w:eastAsia="MS Mincho"/>
        </w:rPr>
        <w:sectPr w:rsidR="00382557" w:rsidSect="00382557">
          <w:type w:val="continuous"/>
          <w:pgSz w:w="11909" w:h="16834" w:code="9"/>
          <w:pgMar w:top="1080" w:right="734" w:bottom="2434" w:left="734" w:header="720" w:footer="720" w:gutter="0"/>
          <w:cols w:num="2" w:space="360"/>
          <w:docGrid w:linePitch="360"/>
        </w:sectPr>
      </w:pPr>
    </w:p>
    <w:p w14:paraId="3E505DBC" w14:textId="7E573795" w:rsidR="003631FD" w:rsidRDefault="00C22659" w:rsidP="00F23BAF">
      <w:pPr>
        <w:rPr>
          <w:rFonts w:eastAsia="MS Mincho"/>
        </w:rPr>
      </w:pPr>
      <w:r w:rsidRPr="00C40589">
        <w:rPr>
          <w:noProof/>
        </w:rPr>
        <w:lastRenderedPageBreak/>
        <w:drawing>
          <wp:inline distT="0" distB="0" distL="0" distR="0" wp14:anchorId="5C463ED5" wp14:editId="3ADE6AA5">
            <wp:extent cx="5600700" cy="326521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567"/>
                    <a:stretch/>
                  </pic:blipFill>
                  <pic:spPr bwMode="auto">
                    <a:xfrm>
                      <a:off x="0" y="0"/>
                      <a:ext cx="5628482" cy="3281409"/>
                    </a:xfrm>
                    <a:prstGeom prst="rect">
                      <a:avLst/>
                    </a:prstGeom>
                    <a:noFill/>
                    <a:ln>
                      <a:noFill/>
                    </a:ln>
                    <a:extLst>
                      <a:ext uri="{53640926-AAD7-44D8-BBD7-CCE9431645EC}">
                        <a14:shadowObscured xmlns:a14="http://schemas.microsoft.com/office/drawing/2010/main"/>
                      </a:ext>
                    </a:extLst>
                  </pic:spPr>
                </pic:pic>
              </a:graphicData>
            </a:graphic>
          </wp:inline>
        </w:drawing>
      </w:r>
    </w:p>
    <w:p w14:paraId="2C28C566" w14:textId="68D6B945" w:rsidR="00C236A9" w:rsidRDefault="00B96DF4" w:rsidP="00C236A9">
      <w:pPr>
        <w:pStyle w:val="figurecaption"/>
        <w:rPr>
          <w:rFonts w:eastAsia="MS Mincho"/>
        </w:rPr>
      </w:pPr>
      <w:r>
        <w:rPr>
          <w:rFonts w:eastAsia="MS Mincho"/>
        </w:rPr>
        <w:t xml:space="preserve">Short term flickers </w:t>
      </w:r>
      <w:r w:rsidRPr="001A01C1">
        <w:rPr>
          <w:rFonts w:eastAsia="MS Mincho"/>
          <w:i/>
        </w:rPr>
        <w:t>P</w:t>
      </w:r>
      <w:r>
        <w:rPr>
          <w:rFonts w:eastAsia="MS Mincho"/>
          <w:vertAlign w:val="subscript"/>
        </w:rPr>
        <w:t>st</w:t>
      </w:r>
      <w:r>
        <w:rPr>
          <w:rFonts w:eastAsia="MS Mincho"/>
        </w:rPr>
        <w:t xml:space="preserve"> (upper diagram) and maximum values of current</w:t>
      </w:r>
      <w:r w:rsidR="00C236A9" w:rsidRPr="00EB1AFE">
        <w:rPr>
          <w:rFonts w:eastAsia="MS Mincho"/>
        </w:rPr>
        <w:t xml:space="preserve"> </w:t>
      </w:r>
      <w:r w:rsidRPr="001A01C1">
        <w:rPr>
          <w:rFonts w:eastAsia="MS Mincho"/>
          <w:i/>
        </w:rPr>
        <w:t>I</w:t>
      </w:r>
      <w:r>
        <w:rPr>
          <w:rFonts w:eastAsia="MS Mincho"/>
          <w:vertAlign w:val="subscript"/>
        </w:rPr>
        <w:t>MAX</w:t>
      </w:r>
      <w:r>
        <w:rPr>
          <w:rFonts w:eastAsia="MS Mincho"/>
        </w:rPr>
        <w:t xml:space="preserve"> (lower diagram) – PV7</w:t>
      </w:r>
    </w:p>
    <w:p w14:paraId="5D274091" w14:textId="4E27F501" w:rsidR="00B96DF4" w:rsidRDefault="00C22659" w:rsidP="00AC1E7F">
      <w:pPr>
        <w:rPr>
          <w:rFonts w:eastAsia="MS Mincho"/>
        </w:rPr>
      </w:pPr>
      <w:r>
        <w:rPr>
          <w:rFonts w:eastAsia="MS Mincho"/>
          <w:noProof/>
        </w:rPr>
        <w:lastRenderedPageBreak/>
        <w:drawing>
          <wp:inline distT="0" distB="0" distL="0" distR="0" wp14:anchorId="0DE561A0" wp14:editId="64341ACB">
            <wp:extent cx="5591175" cy="3027711"/>
            <wp:effectExtent l="0" t="0" r="0" b="1270"/>
            <wp:docPr id="6" name="Picture 6" descr="Ps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tIma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1175" cy="3027711"/>
                    </a:xfrm>
                    <a:prstGeom prst="rect">
                      <a:avLst/>
                    </a:prstGeom>
                    <a:noFill/>
                    <a:ln>
                      <a:noFill/>
                    </a:ln>
                  </pic:spPr>
                </pic:pic>
              </a:graphicData>
            </a:graphic>
          </wp:inline>
        </w:drawing>
      </w:r>
    </w:p>
    <w:p w14:paraId="45E4E4ED" w14:textId="77777777" w:rsidR="00AC1E7F" w:rsidRDefault="00AC1E7F" w:rsidP="00AC1E7F">
      <w:pPr>
        <w:pStyle w:val="figurecaption"/>
        <w:rPr>
          <w:rFonts w:eastAsia="MS Mincho"/>
        </w:rPr>
      </w:pPr>
      <w:r>
        <w:rPr>
          <w:rFonts w:eastAsia="MS Mincho"/>
        </w:rPr>
        <w:t xml:space="preserve">Short term flickers </w:t>
      </w:r>
      <w:r w:rsidRPr="001A01C1">
        <w:rPr>
          <w:rFonts w:eastAsia="MS Mincho"/>
          <w:i/>
        </w:rPr>
        <w:t>P</w:t>
      </w:r>
      <w:r>
        <w:rPr>
          <w:rFonts w:eastAsia="MS Mincho"/>
          <w:vertAlign w:val="subscript"/>
        </w:rPr>
        <w:t>st</w:t>
      </w:r>
      <w:r>
        <w:rPr>
          <w:rFonts w:eastAsia="MS Mincho"/>
        </w:rPr>
        <w:t xml:space="preserve"> and maximum values of current</w:t>
      </w:r>
      <w:r w:rsidRPr="00EB1AFE">
        <w:rPr>
          <w:rFonts w:eastAsia="MS Mincho"/>
        </w:rPr>
        <w:t xml:space="preserve"> </w:t>
      </w:r>
      <w:r w:rsidRPr="001A01C1">
        <w:rPr>
          <w:rFonts w:eastAsia="MS Mincho"/>
          <w:i/>
        </w:rPr>
        <w:t>I</w:t>
      </w:r>
      <w:r>
        <w:rPr>
          <w:rFonts w:eastAsia="MS Mincho"/>
          <w:vertAlign w:val="subscript"/>
        </w:rPr>
        <w:t>MAX</w:t>
      </w:r>
      <w:r>
        <w:rPr>
          <w:rFonts w:eastAsia="MS Mincho"/>
        </w:rPr>
        <w:t xml:space="preserve"> – PV1</w:t>
      </w:r>
    </w:p>
    <w:p w14:paraId="2A09D7A3" w14:textId="77777777" w:rsidR="0003640D" w:rsidRDefault="0003640D" w:rsidP="00D13C9E">
      <w:pPr>
        <w:ind w:firstLine="284"/>
        <w:jc w:val="both"/>
        <w:rPr>
          <w:rFonts w:eastAsia="MS Mincho"/>
        </w:rPr>
        <w:sectPr w:rsidR="0003640D" w:rsidSect="00382557">
          <w:type w:val="continuous"/>
          <w:pgSz w:w="11909" w:h="16834" w:code="9"/>
          <w:pgMar w:top="1080" w:right="734" w:bottom="2434" w:left="734" w:header="720" w:footer="720" w:gutter="0"/>
          <w:cols w:space="360"/>
          <w:docGrid w:linePitch="360"/>
        </w:sectPr>
      </w:pPr>
    </w:p>
    <w:p w14:paraId="0378DFB9" w14:textId="205D07DF" w:rsidR="00D13C9E" w:rsidRDefault="00C22659" w:rsidP="00D13C9E">
      <w:pPr>
        <w:rPr>
          <w:rFonts w:eastAsia="MS Mincho"/>
        </w:rPr>
      </w:pPr>
      <w:r>
        <w:rPr>
          <w:rFonts w:eastAsia="MS Mincho"/>
          <w:noProof/>
        </w:rPr>
        <w:lastRenderedPageBreak/>
        <w:drawing>
          <wp:inline distT="0" distB="0" distL="0" distR="0" wp14:anchorId="33DEEE59" wp14:editId="61B72393">
            <wp:extent cx="3247750" cy="1834662"/>
            <wp:effectExtent l="0" t="0" r="0" b="0"/>
            <wp:docPr id="7" name="Picture 7" descr="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D"/>
                    <pic:cNvPicPr>
                      <a:picLocks noChangeAspect="1" noChangeArrowheads="1"/>
                    </pic:cNvPicPr>
                  </pic:nvPicPr>
                  <pic:blipFill rotWithShape="1">
                    <a:blip r:embed="rId15">
                      <a:extLst>
                        <a:ext uri="{28A0092B-C50C-407E-A947-70E740481C1C}">
                          <a14:useLocalDpi xmlns:a14="http://schemas.microsoft.com/office/drawing/2010/main" val="0"/>
                        </a:ext>
                      </a:extLst>
                    </a:blip>
                    <a:srcRect t="1872" b="2793"/>
                    <a:stretch/>
                  </pic:blipFill>
                  <pic:spPr bwMode="auto">
                    <a:xfrm>
                      <a:off x="0" y="0"/>
                      <a:ext cx="3264881" cy="1844339"/>
                    </a:xfrm>
                    <a:prstGeom prst="rect">
                      <a:avLst/>
                    </a:prstGeom>
                    <a:noFill/>
                    <a:ln>
                      <a:noFill/>
                    </a:ln>
                    <a:extLst>
                      <a:ext uri="{53640926-AAD7-44D8-BBD7-CCE9431645EC}">
                        <a14:shadowObscured xmlns:a14="http://schemas.microsoft.com/office/drawing/2010/main"/>
                      </a:ext>
                    </a:extLst>
                  </pic:spPr>
                </pic:pic>
              </a:graphicData>
            </a:graphic>
          </wp:inline>
        </w:drawing>
      </w:r>
    </w:p>
    <w:p w14:paraId="4F2B6AF6" w14:textId="77777777" w:rsidR="003326E8" w:rsidRDefault="003326E8" w:rsidP="003326E8">
      <w:pPr>
        <w:pStyle w:val="figurecaption"/>
        <w:rPr>
          <w:rFonts w:eastAsia="MS Mincho"/>
        </w:rPr>
      </w:pPr>
      <w:r w:rsidRPr="001A01C1">
        <w:rPr>
          <w:rFonts w:eastAsia="MS Mincho"/>
          <w:i/>
        </w:rPr>
        <w:t>THD</w:t>
      </w:r>
      <w:r w:rsidRPr="003A6A94">
        <w:rPr>
          <w:rFonts w:eastAsia="MS Mincho"/>
          <w:vertAlign w:val="subscript"/>
        </w:rPr>
        <w:t>I</w:t>
      </w:r>
      <w:r>
        <w:rPr>
          <w:rFonts w:eastAsia="MS Mincho"/>
        </w:rPr>
        <w:t xml:space="preserve"> and</w:t>
      </w:r>
      <w:r w:rsidRPr="001A01C1">
        <w:rPr>
          <w:rFonts w:eastAsia="MS Mincho"/>
          <w:i/>
        </w:rPr>
        <w:t xml:space="preserve"> THD</w:t>
      </w:r>
      <w:r w:rsidRPr="003A6A94">
        <w:rPr>
          <w:rFonts w:eastAsia="MS Mincho"/>
          <w:vertAlign w:val="subscript"/>
        </w:rPr>
        <w:t>U</w:t>
      </w:r>
      <w:r w:rsidRPr="00EB1AFE">
        <w:t xml:space="preserve"> </w:t>
      </w:r>
      <w:r w:rsidRPr="00EB1AFE">
        <w:rPr>
          <w:rFonts w:eastAsia="MS Mincho"/>
        </w:rPr>
        <w:t>in diff</w:t>
      </w:r>
      <w:r>
        <w:rPr>
          <w:rFonts w:eastAsia="MS Mincho"/>
        </w:rPr>
        <w:t>erent production conditions of PV</w:t>
      </w:r>
      <w:r w:rsidR="002C026B">
        <w:rPr>
          <w:rFonts w:eastAsia="MS Mincho"/>
        </w:rPr>
        <w:t>5</w:t>
      </w:r>
      <w:r>
        <w:rPr>
          <w:rFonts w:eastAsia="MS Mincho"/>
        </w:rPr>
        <w:t>.</w:t>
      </w:r>
      <w:r w:rsidRPr="00EB1AFE">
        <w:rPr>
          <w:rFonts w:eastAsia="MS Mincho"/>
        </w:rPr>
        <w:t xml:space="preserve"> </w:t>
      </w:r>
    </w:p>
    <w:p w14:paraId="2BA0612A" w14:textId="77777777" w:rsidR="00146DFF" w:rsidRDefault="00146DFF" w:rsidP="00146DFF">
      <w:pPr>
        <w:pStyle w:val="Heading1"/>
      </w:pPr>
      <w:r>
        <w:t>Conclusion</w:t>
      </w:r>
    </w:p>
    <w:p w14:paraId="5084E552" w14:textId="12D0FAD2" w:rsidR="005C7CAD" w:rsidRPr="0039737D" w:rsidRDefault="00F22722" w:rsidP="0039737D">
      <w:pPr>
        <w:ind w:firstLine="284"/>
        <w:jc w:val="both"/>
        <w:rPr>
          <w:rFonts w:eastAsia="MS Mincho"/>
        </w:rPr>
      </w:pPr>
      <w:r w:rsidRPr="00601443">
        <w:rPr>
          <w:rFonts w:eastAsia="MS Mincho"/>
        </w:rPr>
        <w:t xml:space="preserve">In this paper, the impacts of different types of REPP on the power quality in distribution network in Eastern Croatia are presented and analyzed. </w:t>
      </w:r>
      <w:r w:rsidR="005C7CAD">
        <w:rPr>
          <w:rFonts w:eastAsia="MS Mincho"/>
        </w:rPr>
        <w:t>In</w:t>
      </w:r>
      <w:r w:rsidR="0039737D">
        <w:rPr>
          <w:rFonts w:eastAsia="MS Mincho"/>
        </w:rPr>
        <w:t xml:space="preserve"> comparison with PV power plants, biogas power plants have </w:t>
      </w:r>
      <w:r w:rsidR="00547161">
        <w:rPr>
          <w:rFonts w:eastAsia="MS Mincho"/>
        </w:rPr>
        <w:t xml:space="preserve">a </w:t>
      </w:r>
      <w:r w:rsidR="0039737D">
        <w:rPr>
          <w:rFonts w:eastAsia="MS Mincho"/>
        </w:rPr>
        <w:t xml:space="preserve">larger impact on distribution network which can be seen from </w:t>
      </w:r>
      <w:r w:rsidR="00547161">
        <w:rPr>
          <w:rFonts w:eastAsia="MS Mincho"/>
        </w:rPr>
        <w:t>T</w:t>
      </w:r>
      <w:r w:rsidR="0039737D">
        <w:rPr>
          <w:rFonts w:eastAsia="MS Mincho"/>
        </w:rPr>
        <w:t xml:space="preserve">ables I and II. Biogas power plants </w:t>
      </w:r>
      <w:r w:rsidR="0039737D" w:rsidRPr="0039737D">
        <w:rPr>
          <w:rFonts w:eastAsia="MS Mincho"/>
        </w:rPr>
        <w:t xml:space="preserve">BIO2, BIO3 </w:t>
      </w:r>
      <w:r w:rsidR="0039737D">
        <w:rPr>
          <w:rFonts w:eastAsia="MS Mincho"/>
        </w:rPr>
        <w:t>and</w:t>
      </w:r>
      <w:r w:rsidR="0039737D" w:rsidRPr="0039737D">
        <w:rPr>
          <w:rFonts w:eastAsia="MS Mincho"/>
        </w:rPr>
        <w:t xml:space="preserve"> BIO4</w:t>
      </w:r>
      <w:r w:rsidR="0039737D">
        <w:rPr>
          <w:rFonts w:eastAsia="MS Mincho"/>
        </w:rPr>
        <w:t xml:space="preserve"> are connected to </w:t>
      </w:r>
      <w:r w:rsidR="00547161">
        <w:rPr>
          <w:rFonts w:eastAsia="MS Mincho"/>
        </w:rPr>
        <w:t xml:space="preserve">the </w:t>
      </w:r>
      <w:r w:rsidR="0039737D">
        <w:rPr>
          <w:rFonts w:eastAsia="MS Mincho"/>
        </w:rPr>
        <w:t xml:space="preserve">weak grid where </w:t>
      </w:r>
      <w:r w:rsidR="00547161">
        <w:rPr>
          <w:rFonts w:eastAsia="MS Mincho"/>
        </w:rPr>
        <w:t xml:space="preserve">the </w:t>
      </w:r>
      <w:r w:rsidR="0039737D">
        <w:rPr>
          <w:rFonts w:eastAsia="MS Mincho"/>
        </w:rPr>
        <w:t>load is very low and that is the</w:t>
      </w:r>
      <w:r w:rsidR="005C7CAD">
        <w:rPr>
          <w:rFonts w:eastAsia="MS Mincho"/>
        </w:rPr>
        <w:t xml:space="preserve"> reason why they are contributing to increas</w:t>
      </w:r>
      <w:r w:rsidR="00547161">
        <w:rPr>
          <w:rFonts w:eastAsia="MS Mincho"/>
        </w:rPr>
        <w:t>ing</w:t>
      </w:r>
      <w:r w:rsidR="005C7CAD">
        <w:rPr>
          <w:rFonts w:eastAsia="MS Mincho"/>
        </w:rPr>
        <w:t xml:space="preserve"> of flickers.</w:t>
      </w:r>
      <w:r>
        <w:rPr>
          <w:rFonts w:eastAsia="MS Mincho"/>
        </w:rPr>
        <w:t xml:space="preserve"> </w:t>
      </w:r>
      <w:r w:rsidR="005C7CAD">
        <w:rPr>
          <w:rFonts w:eastAsia="MS Mincho"/>
        </w:rPr>
        <w:t xml:space="preserve">Generally, there is no negative influence of renewable power plants in eastern Croatia on power quality of distribution grid. </w:t>
      </w:r>
      <w:r w:rsidR="007F63C5">
        <w:rPr>
          <w:rFonts w:eastAsia="MS Mincho"/>
        </w:rPr>
        <w:t xml:space="preserve">All power quality indices are in allowed limits. </w:t>
      </w:r>
    </w:p>
    <w:p w14:paraId="155E66EA" w14:textId="77777777" w:rsidR="004C27D8" w:rsidRDefault="001A01C1" w:rsidP="004C27D8">
      <w:pPr>
        <w:pStyle w:val="Heading1"/>
        <w:numPr>
          <w:ilvl w:val="0"/>
          <w:numId w:val="0"/>
        </w:numPr>
      </w:pPr>
      <w:r w:rsidRPr="001A01C1">
        <w:t>Acknowledgements</w:t>
      </w:r>
    </w:p>
    <w:p w14:paraId="259BC99C" w14:textId="77777777" w:rsidR="004C27D8" w:rsidRDefault="001A01C1" w:rsidP="001A01C1">
      <w:pPr>
        <w:ind w:firstLine="284"/>
        <w:jc w:val="both"/>
        <w:rPr>
          <w:rFonts w:eastAsia="MS Mincho"/>
        </w:rPr>
      </w:pPr>
      <w:r w:rsidRPr="001A01C1">
        <w:rPr>
          <w:rFonts w:eastAsia="MS Mincho"/>
        </w:rPr>
        <w:t xml:space="preserve">This research is part of the </w:t>
      </w:r>
      <w:proofErr w:type="spellStart"/>
      <w:r w:rsidRPr="001A01C1">
        <w:rPr>
          <w:rFonts w:eastAsia="MS Mincho"/>
        </w:rPr>
        <w:t>RuRES</w:t>
      </w:r>
      <w:proofErr w:type="spellEnd"/>
      <w:r w:rsidRPr="001A01C1">
        <w:rPr>
          <w:rFonts w:eastAsia="MS Mincho"/>
        </w:rPr>
        <w:t>, HUHR</w:t>
      </w:r>
      <w:r w:rsidR="002B4264">
        <w:rPr>
          <w:rFonts w:eastAsia="MS Mincho"/>
        </w:rPr>
        <w:t xml:space="preserve"> </w:t>
      </w:r>
      <w:r w:rsidRPr="001A01C1">
        <w:rPr>
          <w:rFonts w:eastAsia="MS Mincho"/>
        </w:rPr>
        <w:t xml:space="preserve">/1601/3.1.1/0033 project financed in frame of </w:t>
      </w:r>
      <w:proofErr w:type="spellStart"/>
      <w:r w:rsidRPr="001A01C1">
        <w:rPr>
          <w:rFonts w:eastAsia="MS Mincho"/>
        </w:rPr>
        <w:t>Interreg</w:t>
      </w:r>
      <w:proofErr w:type="spellEnd"/>
      <w:r w:rsidRPr="001A01C1">
        <w:rPr>
          <w:rFonts w:eastAsia="MS Mincho"/>
        </w:rPr>
        <w:t xml:space="preserve"> V-A Hungary-Croatia Co-operation </w:t>
      </w:r>
      <w:proofErr w:type="spellStart"/>
      <w:r w:rsidRPr="001A01C1">
        <w:rPr>
          <w:rFonts w:eastAsia="MS Mincho"/>
        </w:rPr>
        <w:t>Programme</w:t>
      </w:r>
      <w:proofErr w:type="spellEnd"/>
      <w:r w:rsidRPr="001A01C1">
        <w:rPr>
          <w:rFonts w:eastAsia="MS Mincho"/>
        </w:rPr>
        <w:t xml:space="preserve"> 2014-2020.</w:t>
      </w:r>
    </w:p>
    <w:p w14:paraId="53BC4F3A" w14:textId="77777777" w:rsidR="008A55B5" w:rsidRDefault="008A55B5">
      <w:pPr>
        <w:pStyle w:val="Heading5"/>
        <w:rPr>
          <w:rFonts w:eastAsia="MS Mincho"/>
        </w:rPr>
      </w:pPr>
      <w:r>
        <w:rPr>
          <w:rFonts w:eastAsia="MS Mincho"/>
        </w:rPr>
        <w:lastRenderedPageBreak/>
        <w:t>References</w:t>
      </w:r>
    </w:p>
    <w:p w14:paraId="5B3B9ED9" w14:textId="77777777" w:rsidR="008A55B5" w:rsidRPr="00673189" w:rsidRDefault="008A55B5" w:rsidP="00673189">
      <w:pPr>
        <w:pStyle w:val="references"/>
        <w:rPr>
          <w:rFonts w:eastAsia="MS Mincho"/>
        </w:rPr>
      </w:pPr>
      <w:r w:rsidRPr="00673189">
        <w:rPr>
          <w:rFonts w:eastAsia="MS Mincho"/>
        </w:rPr>
        <w:t xml:space="preserve"> </w:t>
      </w:r>
      <w:r w:rsidR="004445B3" w:rsidRPr="00673189">
        <w:rPr>
          <w:rFonts w:eastAsia="MS Mincho"/>
        </w:rPr>
        <w:t>“</w:t>
      </w:r>
      <w:r w:rsidR="00C44F19" w:rsidRPr="00673189">
        <w:rPr>
          <w:rFonts w:eastAsia="MS Mincho"/>
        </w:rPr>
        <w:t>Renewables 2017</w:t>
      </w:r>
      <w:r w:rsidR="00C44F19">
        <w:rPr>
          <w:rFonts w:eastAsia="MS Mincho"/>
        </w:rPr>
        <w:t xml:space="preserve"> </w:t>
      </w:r>
      <w:r w:rsidR="00C44F19" w:rsidRPr="00673189">
        <w:rPr>
          <w:rFonts w:eastAsia="MS Mincho"/>
        </w:rPr>
        <w:t xml:space="preserve">Global </w:t>
      </w:r>
      <w:r w:rsidR="00C44F19">
        <w:rPr>
          <w:rFonts w:eastAsia="MS Mincho"/>
        </w:rPr>
        <w:t>S</w:t>
      </w:r>
      <w:r w:rsidR="00C44F19" w:rsidRPr="00673189">
        <w:rPr>
          <w:rFonts w:eastAsia="MS Mincho"/>
        </w:rPr>
        <w:t xml:space="preserve">tatus </w:t>
      </w:r>
      <w:r w:rsidR="00C44F19">
        <w:rPr>
          <w:rFonts w:eastAsia="MS Mincho"/>
        </w:rPr>
        <w:t>R</w:t>
      </w:r>
      <w:r w:rsidR="00C44F19" w:rsidRPr="00673189">
        <w:rPr>
          <w:rFonts w:eastAsia="MS Mincho"/>
        </w:rPr>
        <w:t>eport</w:t>
      </w:r>
      <w:r w:rsidR="004445B3" w:rsidRPr="00673189">
        <w:rPr>
          <w:rFonts w:eastAsia="MS Mincho"/>
        </w:rPr>
        <w:t>”</w:t>
      </w:r>
      <w:r w:rsidRPr="00673189">
        <w:rPr>
          <w:rFonts w:eastAsia="MS Mincho"/>
        </w:rPr>
        <w:t xml:space="preserve"> </w:t>
      </w:r>
      <w:r w:rsidR="00673189" w:rsidRPr="00673189">
        <w:rPr>
          <w:rFonts w:eastAsia="MS Mincho"/>
        </w:rPr>
        <w:t>(Paris: REN21 Secretariat</w:t>
      </w:r>
      <w:r w:rsidR="00531451">
        <w:rPr>
          <w:rFonts w:eastAsia="MS Mincho"/>
        </w:rPr>
        <w:t>)</w:t>
      </w:r>
      <w:r w:rsidR="00C44F19">
        <w:rPr>
          <w:rFonts w:eastAsia="MS Mincho"/>
        </w:rPr>
        <w:t xml:space="preserve">, </w:t>
      </w:r>
      <w:hyperlink r:id="rId16" w:history="1">
        <w:r w:rsidR="00673189" w:rsidRPr="008D172E">
          <w:rPr>
            <w:rStyle w:val="Hyperlink"/>
            <w:rFonts w:eastAsia="MS Mincho"/>
          </w:rPr>
          <w:t>http://www.ren21.net/wp-content/uploads/2017/06/17-8399_GSR_2017_Full_Report_0621_Opt.pdf</w:t>
        </w:r>
      </w:hyperlink>
      <w:r w:rsidR="00673189">
        <w:rPr>
          <w:rFonts w:eastAsia="MS Mincho"/>
        </w:rPr>
        <w:t xml:space="preserve">, </w:t>
      </w:r>
      <w:r w:rsidR="00C44F19">
        <w:rPr>
          <w:rFonts w:eastAsia="MS Mincho"/>
        </w:rPr>
        <w:t>last access on</w:t>
      </w:r>
      <w:r w:rsidR="00673189">
        <w:rPr>
          <w:rFonts w:eastAsia="MS Mincho"/>
        </w:rPr>
        <w:t xml:space="preserve"> 16.1.2018.</w:t>
      </w:r>
    </w:p>
    <w:p w14:paraId="1949DC5A" w14:textId="77777777" w:rsidR="00531451" w:rsidRPr="00531451" w:rsidRDefault="00531451" w:rsidP="00EB1AFE">
      <w:pPr>
        <w:pStyle w:val="references"/>
        <w:rPr>
          <w:rFonts w:eastAsia="MS Mincho"/>
        </w:rPr>
      </w:pPr>
      <w:r w:rsidRPr="00531451">
        <w:rPr>
          <w:rFonts w:eastAsia="MS Mincho"/>
        </w:rPr>
        <w:t xml:space="preserve"> “Renewables 2007 Global Status Report” (Paris: REN21 Secretariat and Washington, DC: Worldwatch Institute).</w:t>
      </w:r>
      <w:r>
        <w:rPr>
          <w:rFonts w:eastAsia="MS Mincho"/>
        </w:rPr>
        <w:t xml:space="preserve"> </w:t>
      </w:r>
      <w:r w:rsidRPr="00531451">
        <w:rPr>
          <w:rFonts w:eastAsia="MS Mincho"/>
        </w:rPr>
        <w:t>Copyright © 2008 Deutsche Gesellschaft für Technische Zusammenarbeit (GTZ) GmbH.</w:t>
      </w:r>
      <w:r>
        <w:rPr>
          <w:rFonts w:eastAsia="MS Mincho"/>
        </w:rPr>
        <w:t xml:space="preserve"> </w:t>
      </w:r>
      <w:r w:rsidRPr="00531451">
        <w:rPr>
          <w:rFonts w:eastAsia="MS Mincho"/>
        </w:rPr>
        <w:t xml:space="preserve">http://www.ren21.net/Portals/0/documents/activities/gsr/RE2007_Global_Status_Report.pdf,  </w:t>
      </w:r>
      <w:r w:rsidR="00C44F19">
        <w:rPr>
          <w:rFonts w:eastAsia="MS Mincho"/>
        </w:rPr>
        <w:t>last access on</w:t>
      </w:r>
      <w:r w:rsidRPr="00531451">
        <w:rPr>
          <w:rFonts w:eastAsia="MS Mincho"/>
        </w:rPr>
        <w:t xml:space="preserve"> 16.1.2018.</w:t>
      </w:r>
    </w:p>
    <w:p w14:paraId="4197234A" w14:textId="77777777" w:rsidR="008A55B5" w:rsidRPr="00817126" w:rsidRDefault="00817126" w:rsidP="00EB1AFE">
      <w:pPr>
        <w:pStyle w:val="references"/>
        <w:rPr>
          <w:rFonts w:eastAsia="MS Mincho"/>
        </w:rPr>
      </w:pPr>
      <w:r w:rsidRPr="00817126">
        <w:rPr>
          <w:rFonts w:eastAsia="MS Mincho"/>
        </w:rPr>
        <w:t xml:space="preserve">Energija u </w:t>
      </w:r>
      <w:r w:rsidR="0004167C">
        <w:rPr>
          <w:rFonts w:eastAsia="MS Mincho"/>
        </w:rPr>
        <w:t>H</w:t>
      </w:r>
      <w:r w:rsidRPr="00817126">
        <w:rPr>
          <w:rFonts w:eastAsia="MS Mincho"/>
        </w:rPr>
        <w:t>rvatskoj 2015., Godišnji energetski pregled,</w:t>
      </w:r>
      <w:r w:rsidRPr="00817126">
        <w:t xml:space="preserve"> </w:t>
      </w:r>
      <w:r w:rsidRPr="00817126">
        <w:rPr>
          <w:rFonts w:eastAsia="MS Mincho"/>
        </w:rPr>
        <w:t>MINISTARSTVO ZAŠTITE OKOLIŠA I ENERGETIKE, Republika Hrvatska, Energetski institut Hrvoje Požar</w:t>
      </w:r>
      <w:r>
        <w:rPr>
          <w:rFonts w:eastAsia="MS Mincho"/>
        </w:rPr>
        <w:t xml:space="preserve"> </w:t>
      </w:r>
      <w:r w:rsidRPr="00817126">
        <w:rPr>
          <w:rFonts w:eastAsia="MS Mincho"/>
        </w:rPr>
        <w:t>Zagreb, Savska cesta 163</w:t>
      </w:r>
      <w:r>
        <w:rPr>
          <w:rFonts w:eastAsia="MS Mincho"/>
        </w:rPr>
        <w:t xml:space="preserve">, </w:t>
      </w:r>
      <w:r w:rsidRPr="00817126">
        <w:rPr>
          <w:rFonts w:eastAsia="MS Mincho"/>
        </w:rPr>
        <w:t>2016</w:t>
      </w:r>
      <w:r w:rsidR="008A55B5" w:rsidRPr="00817126">
        <w:rPr>
          <w:rFonts w:eastAsia="MS Mincho"/>
        </w:rPr>
        <w:t>.</w:t>
      </w:r>
    </w:p>
    <w:p w14:paraId="5E31A95E" w14:textId="77777777" w:rsidR="005040D3" w:rsidRDefault="005040D3" w:rsidP="005040D3">
      <w:pPr>
        <w:pStyle w:val="references"/>
        <w:rPr>
          <w:rFonts w:eastAsia="MS Mincho"/>
        </w:rPr>
      </w:pPr>
      <w:r w:rsidRPr="005040D3">
        <w:rPr>
          <w:rFonts w:eastAsia="MS Mincho"/>
        </w:rPr>
        <w:t>R.C. Dugan, M.F. McGr</w:t>
      </w:r>
      <w:r w:rsidR="00C44F19">
        <w:rPr>
          <w:rFonts w:eastAsia="MS Mincho"/>
        </w:rPr>
        <w:t>anaghan, S. Santoso, H.W. Beaty,</w:t>
      </w:r>
      <w:r w:rsidRPr="005040D3">
        <w:rPr>
          <w:rFonts w:eastAsia="MS Mincho"/>
        </w:rPr>
        <w:t xml:space="preserve"> Electrical Power Systems Quality, The McGrew-Hill Companies, New York, 2002.</w:t>
      </w:r>
    </w:p>
    <w:p w14:paraId="323B7309" w14:textId="77777777" w:rsidR="009D08D0" w:rsidRPr="00C44F19" w:rsidRDefault="009D08D0" w:rsidP="005040D3">
      <w:pPr>
        <w:pStyle w:val="references"/>
        <w:rPr>
          <w:rFonts w:eastAsia="MS Mincho"/>
        </w:rPr>
      </w:pPr>
      <w:r>
        <w:rPr>
          <w:rFonts w:eastAsia="MS Mincho"/>
        </w:rPr>
        <w:t>M. Bollen, F. Hassan</w:t>
      </w:r>
      <w:r w:rsidR="00C44F19">
        <w:rPr>
          <w:rFonts w:eastAsia="MS Mincho"/>
        </w:rPr>
        <w:t xml:space="preserve">, Integration of distributed generation in the power system, </w:t>
      </w:r>
      <w:r w:rsidR="00C44F19">
        <w:rPr>
          <w:rFonts w:ascii="Times-Roman" w:hAnsi="Times-Roman" w:cs="Times-Roman"/>
          <w:lang w:val="hr-HR" w:eastAsia="hr-HR"/>
        </w:rPr>
        <w:t>John Wiley &amp; Sons, Inc., Hoboken, New Jersey, 2011.</w:t>
      </w:r>
    </w:p>
    <w:p w14:paraId="2DB8EBB9" w14:textId="77777777" w:rsidR="00C44F19" w:rsidRPr="00C44F19" w:rsidRDefault="00C44F19" w:rsidP="001C727B">
      <w:pPr>
        <w:pStyle w:val="references"/>
        <w:rPr>
          <w:rFonts w:eastAsia="MS Mincho"/>
        </w:rPr>
      </w:pPr>
      <w:r>
        <w:t xml:space="preserve">G.J. Wakileh. Harmonics in rotating machines. </w:t>
      </w:r>
      <w:r w:rsidRPr="00906308">
        <w:rPr>
          <w:rFonts w:ascii="Times-Italic" w:hAnsi="Times-Italic" w:cs="Times-Italic"/>
          <w:iCs/>
        </w:rPr>
        <w:t>Electric Power Systems Research</w:t>
      </w:r>
      <w:r w:rsidRPr="00906308">
        <w:t>,</w:t>
      </w:r>
      <w:r w:rsidR="00906308" w:rsidRPr="00906308">
        <w:t xml:space="preserve"> </w:t>
      </w:r>
      <w:r>
        <w:t>66(1):31–37, 2003.</w:t>
      </w:r>
    </w:p>
    <w:p w14:paraId="2A37EEAD" w14:textId="77777777" w:rsidR="00C44F19" w:rsidRPr="00C44F19" w:rsidRDefault="00C44F19" w:rsidP="001C727B">
      <w:pPr>
        <w:pStyle w:val="references"/>
        <w:rPr>
          <w:rFonts w:eastAsia="MS Mincho"/>
        </w:rPr>
      </w:pPr>
      <w:r>
        <w:t>A.F. Zobaa, S.H.E. Abdel Aleem, Power Quality in Future Electrical Power Systems, The Institution of Engineering and Technoilogy, London, UK, 2017.</w:t>
      </w:r>
    </w:p>
    <w:p w14:paraId="3ECC2DDA" w14:textId="77777777" w:rsidR="00C44F19" w:rsidRPr="00C44F19" w:rsidRDefault="00C44F19" w:rsidP="00C44F19">
      <w:pPr>
        <w:pStyle w:val="references"/>
        <w:rPr>
          <w:rFonts w:eastAsia="MS Mincho"/>
        </w:rPr>
      </w:pPr>
      <w:r>
        <w:t xml:space="preserve">A. Delavari, I. Kamwa, A. Zabihinejad, A Comparative Study of Different Multilevel Converter Topologies for High Power Photovoltaic Applications. </w:t>
      </w:r>
      <w:r w:rsidRPr="00C44F19">
        <w:t>7th Power Electronics, Drive Systems &amp; Technologies Conference (PEDSTC 2016)</w:t>
      </w:r>
      <w:r>
        <w:t xml:space="preserve">, </w:t>
      </w:r>
      <w:r w:rsidRPr="00C44F19">
        <w:t>Tehran, Iran</w:t>
      </w:r>
      <w:r>
        <w:t>,</w:t>
      </w:r>
      <w:r w:rsidRPr="00C44F19">
        <w:t xml:space="preserve"> 2016</w:t>
      </w:r>
      <w:r>
        <w:t>.</w:t>
      </w:r>
    </w:p>
    <w:p w14:paraId="3A07D737" w14:textId="77777777" w:rsidR="00EB1AFE" w:rsidRDefault="00EB1AFE" w:rsidP="00EB1AFE">
      <w:pPr>
        <w:pStyle w:val="references"/>
        <w:rPr>
          <w:rFonts w:eastAsia="MS Mincho"/>
        </w:rPr>
      </w:pPr>
      <w:r w:rsidRPr="00EB1AFE">
        <w:rPr>
          <w:rFonts w:eastAsia="MS Mincho"/>
        </w:rPr>
        <w:t>A.B. Baggini: Handbook of Power Quality, John Wiley and Sons, UK, 2008.</w:t>
      </w:r>
    </w:p>
    <w:p w14:paraId="59D83CB5" w14:textId="77777777" w:rsidR="00906308" w:rsidRPr="00906308" w:rsidRDefault="00906308" w:rsidP="001C727B">
      <w:pPr>
        <w:pStyle w:val="references"/>
        <w:rPr>
          <w:rFonts w:eastAsia="MS Mincho"/>
        </w:rPr>
      </w:pPr>
      <w:r w:rsidRPr="00906308">
        <w:rPr>
          <w:rFonts w:eastAsia="MS Mincho"/>
        </w:rPr>
        <w:t>Y. Du, D. D. Lu, G. James, D.J. Cornforth, Modeling and analysis of current harmonic distortion from</w:t>
      </w:r>
      <w:r>
        <w:rPr>
          <w:rFonts w:eastAsia="MS Mincho"/>
        </w:rPr>
        <w:t xml:space="preserve"> </w:t>
      </w:r>
      <w:r w:rsidRPr="00906308">
        <w:rPr>
          <w:rFonts w:eastAsia="MS Mincho"/>
        </w:rPr>
        <w:t>grid connected PV inverters under different operating conditions</w:t>
      </w:r>
      <w:r>
        <w:rPr>
          <w:rFonts w:eastAsia="MS Mincho"/>
        </w:rPr>
        <w:t>. Solar Energy, 94:182-194, 2013.</w:t>
      </w:r>
    </w:p>
    <w:p w14:paraId="579DE2E4" w14:textId="77777777" w:rsidR="00AC3A5B" w:rsidRDefault="00EB1AFE" w:rsidP="00EB1AFE">
      <w:pPr>
        <w:pStyle w:val="references"/>
        <w:rPr>
          <w:rFonts w:eastAsia="MS Mincho"/>
        </w:rPr>
      </w:pPr>
      <w:r w:rsidRPr="00EB1AFE">
        <w:rPr>
          <w:rFonts w:eastAsia="MS Mincho"/>
        </w:rPr>
        <w:t>K. Fekete, Z. Klaić, LJ. Majdandžić. Expansion of the residential photovoltaic systems and its harmonic impact on the distribution grid, Renewable energy, 43, 2012</w:t>
      </w:r>
    </w:p>
    <w:p w14:paraId="6D89A477" w14:textId="3567EE58" w:rsidR="008A55B5" w:rsidRDefault="008A55B5" w:rsidP="00131D84">
      <w:pPr>
        <w:pStyle w:val="references"/>
        <w:numPr>
          <w:ilvl w:val="0"/>
          <w:numId w:val="0"/>
        </w:numPr>
        <w:ind w:left="360"/>
        <w:rPr>
          <w:rFonts w:eastAsia="MS Mincho"/>
        </w:rPr>
      </w:pPr>
    </w:p>
    <w:p w14:paraId="547756DA" w14:textId="77777777" w:rsidR="0039737D" w:rsidRPr="0039737D" w:rsidRDefault="0039737D" w:rsidP="00601443">
      <w:pPr>
        <w:pStyle w:val="references"/>
        <w:numPr>
          <w:ilvl w:val="0"/>
          <w:numId w:val="0"/>
        </w:numPr>
        <w:rPr>
          <w:rFonts w:eastAsia="MS Mincho"/>
        </w:rPr>
        <w:sectPr w:rsidR="0039737D" w:rsidRPr="0039737D" w:rsidSect="00382557">
          <w:type w:val="continuous"/>
          <w:pgSz w:w="11909" w:h="16834" w:code="9"/>
          <w:pgMar w:top="1080" w:right="734" w:bottom="2434" w:left="734" w:header="720" w:footer="720" w:gutter="0"/>
          <w:cols w:num="2" w:space="360"/>
          <w:docGrid w:linePitch="360"/>
        </w:sectPr>
      </w:pPr>
    </w:p>
    <w:p w14:paraId="014BB926" w14:textId="77777777" w:rsidR="008A55B5" w:rsidRDefault="008A55B5" w:rsidP="00090192">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3640D"/>
    <w:rsid w:val="0004167C"/>
    <w:rsid w:val="0004390D"/>
    <w:rsid w:val="00062001"/>
    <w:rsid w:val="00090192"/>
    <w:rsid w:val="000908E4"/>
    <w:rsid w:val="000921B9"/>
    <w:rsid w:val="00097ABE"/>
    <w:rsid w:val="000B2CA1"/>
    <w:rsid w:val="000B4641"/>
    <w:rsid w:val="000C7191"/>
    <w:rsid w:val="000F150C"/>
    <w:rsid w:val="0010711E"/>
    <w:rsid w:val="001168F2"/>
    <w:rsid w:val="00127EDD"/>
    <w:rsid w:val="00131D84"/>
    <w:rsid w:val="00146DFF"/>
    <w:rsid w:val="00166FD7"/>
    <w:rsid w:val="00174E54"/>
    <w:rsid w:val="001A01C1"/>
    <w:rsid w:val="001A5DE9"/>
    <w:rsid w:val="001C6E2B"/>
    <w:rsid w:val="001C727B"/>
    <w:rsid w:val="001D15D1"/>
    <w:rsid w:val="00207D40"/>
    <w:rsid w:val="00211E4B"/>
    <w:rsid w:val="0025166D"/>
    <w:rsid w:val="00257B75"/>
    <w:rsid w:val="002655DF"/>
    <w:rsid w:val="00276735"/>
    <w:rsid w:val="002864A3"/>
    <w:rsid w:val="002866D5"/>
    <w:rsid w:val="00290512"/>
    <w:rsid w:val="002B3B81"/>
    <w:rsid w:val="002B4264"/>
    <w:rsid w:val="002C026B"/>
    <w:rsid w:val="00324B4A"/>
    <w:rsid w:val="003326E8"/>
    <w:rsid w:val="00354FE9"/>
    <w:rsid w:val="003559D6"/>
    <w:rsid w:val="003631FD"/>
    <w:rsid w:val="0036396F"/>
    <w:rsid w:val="003674BD"/>
    <w:rsid w:val="00382557"/>
    <w:rsid w:val="00385F84"/>
    <w:rsid w:val="0039737D"/>
    <w:rsid w:val="003A47B5"/>
    <w:rsid w:val="003A59A6"/>
    <w:rsid w:val="003A6A94"/>
    <w:rsid w:val="003B4759"/>
    <w:rsid w:val="004059FE"/>
    <w:rsid w:val="0043670D"/>
    <w:rsid w:val="004445B3"/>
    <w:rsid w:val="00446F7D"/>
    <w:rsid w:val="004C27D8"/>
    <w:rsid w:val="004E7F8D"/>
    <w:rsid w:val="005040D3"/>
    <w:rsid w:val="005151F3"/>
    <w:rsid w:val="005255F0"/>
    <w:rsid w:val="00525F26"/>
    <w:rsid w:val="005263A4"/>
    <w:rsid w:val="00531451"/>
    <w:rsid w:val="00547161"/>
    <w:rsid w:val="00556129"/>
    <w:rsid w:val="005B12C5"/>
    <w:rsid w:val="005B520E"/>
    <w:rsid w:val="005B535B"/>
    <w:rsid w:val="005B5828"/>
    <w:rsid w:val="005C7CAD"/>
    <w:rsid w:val="00600F75"/>
    <w:rsid w:val="00601443"/>
    <w:rsid w:val="006108A4"/>
    <w:rsid w:val="00630D91"/>
    <w:rsid w:val="00630DB8"/>
    <w:rsid w:val="00663D1F"/>
    <w:rsid w:val="00673189"/>
    <w:rsid w:val="006A19B5"/>
    <w:rsid w:val="006A6AD1"/>
    <w:rsid w:val="006B014B"/>
    <w:rsid w:val="006B0CEA"/>
    <w:rsid w:val="006C4648"/>
    <w:rsid w:val="006D6763"/>
    <w:rsid w:val="0072064C"/>
    <w:rsid w:val="00734F67"/>
    <w:rsid w:val="007442B3"/>
    <w:rsid w:val="00753F7B"/>
    <w:rsid w:val="0078398E"/>
    <w:rsid w:val="00787C5A"/>
    <w:rsid w:val="007919DE"/>
    <w:rsid w:val="00792B64"/>
    <w:rsid w:val="007B234F"/>
    <w:rsid w:val="007B4026"/>
    <w:rsid w:val="007B73D7"/>
    <w:rsid w:val="007C0308"/>
    <w:rsid w:val="007C0855"/>
    <w:rsid w:val="007E5756"/>
    <w:rsid w:val="007F63C5"/>
    <w:rsid w:val="007F6934"/>
    <w:rsid w:val="008014D2"/>
    <w:rsid w:val="008054BC"/>
    <w:rsid w:val="00817126"/>
    <w:rsid w:val="008416FE"/>
    <w:rsid w:val="008451C4"/>
    <w:rsid w:val="00846407"/>
    <w:rsid w:val="00880F7C"/>
    <w:rsid w:val="0089309D"/>
    <w:rsid w:val="008A55B5"/>
    <w:rsid w:val="008A75C8"/>
    <w:rsid w:val="00906308"/>
    <w:rsid w:val="009524E3"/>
    <w:rsid w:val="00962327"/>
    <w:rsid w:val="00965D32"/>
    <w:rsid w:val="00974151"/>
    <w:rsid w:val="0097508D"/>
    <w:rsid w:val="009D08D0"/>
    <w:rsid w:val="009E67DB"/>
    <w:rsid w:val="00A510F7"/>
    <w:rsid w:val="00A84F52"/>
    <w:rsid w:val="00A91D6F"/>
    <w:rsid w:val="00AA0340"/>
    <w:rsid w:val="00AC1E7F"/>
    <w:rsid w:val="00AC3A5B"/>
    <w:rsid w:val="00AC6519"/>
    <w:rsid w:val="00B35E9E"/>
    <w:rsid w:val="00B95DBE"/>
    <w:rsid w:val="00B96DF4"/>
    <w:rsid w:val="00BE2E61"/>
    <w:rsid w:val="00C22659"/>
    <w:rsid w:val="00C236A9"/>
    <w:rsid w:val="00C2658A"/>
    <w:rsid w:val="00C273DB"/>
    <w:rsid w:val="00C44F19"/>
    <w:rsid w:val="00C50D4B"/>
    <w:rsid w:val="00CB1404"/>
    <w:rsid w:val="00CB66E6"/>
    <w:rsid w:val="00CC45B6"/>
    <w:rsid w:val="00CE051A"/>
    <w:rsid w:val="00CE450C"/>
    <w:rsid w:val="00D024C4"/>
    <w:rsid w:val="00D11B35"/>
    <w:rsid w:val="00D13C9E"/>
    <w:rsid w:val="00D51A51"/>
    <w:rsid w:val="00D6135F"/>
    <w:rsid w:val="00D81FEF"/>
    <w:rsid w:val="00D9156D"/>
    <w:rsid w:val="00DB7B21"/>
    <w:rsid w:val="00DD0DD0"/>
    <w:rsid w:val="00E02A60"/>
    <w:rsid w:val="00E70152"/>
    <w:rsid w:val="00E91219"/>
    <w:rsid w:val="00EA506F"/>
    <w:rsid w:val="00EB0D49"/>
    <w:rsid w:val="00EB1AFE"/>
    <w:rsid w:val="00EB6651"/>
    <w:rsid w:val="00EE4362"/>
    <w:rsid w:val="00EF18D7"/>
    <w:rsid w:val="00EF1E8A"/>
    <w:rsid w:val="00EF3A1A"/>
    <w:rsid w:val="00EF7515"/>
    <w:rsid w:val="00F04AA4"/>
    <w:rsid w:val="00F21D49"/>
    <w:rsid w:val="00F22722"/>
    <w:rsid w:val="00F23BAF"/>
    <w:rsid w:val="00F610F1"/>
    <w:rsid w:val="00F703C0"/>
    <w:rsid w:val="00F8369E"/>
    <w:rsid w:val="00F93E95"/>
    <w:rsid w:val="00FA7894"/>
    <w:rsid w:val="00FF61AA"/>
    <w:rsid w:val="00FF7B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EC0C9"/>
  <w15:chartTrackingRefBased/>
  <w15:docId w15:val="{6C88CA46-F2B4-47F2-B076-84B04F1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styleId="Hyperlink">
    <w:name w:val="Hyperlink"/>
    <w:uiPriority w:val="99"/>
    <w:unhideWhenUsed/>
    <w:rsid w:val="005263A4"/>
    <w:rPr>
      <w:color w:val="0563C1"/>
      <w:u w:val="single"/>
    </w:rPr>
  </w:style>
  <w:style w:type="character" w:styleId="CommentReference">
    <w:name w:val="annotation reference"/>
    <w:uiPriority w:val="99"/>
    <w:semiHidden/>
    <w:unhideWhenUsed/>
    <w:rsid w:val="00792B64"/>
    <w:rPr>
      <w:sz w:val="16"/>
      <w:szCs w:val="16"/>
    </w:rPr>
  </w:style>
  <w:style w:type="paragraph" w:styleId="CommentText">
    <w:name w:val="annotation text"/>
    <w:basedOn w:val="Normal"/>
    <w:link w:val="CommentTextChar"/>
    <w:uiPriority w:val="99"/>
    <w:semiHidden/>
    <w:unhideWhenUsed/>
    <w:rsid w:val="00792B64"/>
  </w:style>
  <w:style w:type="character" w:customStyle="1" w:styleId="CommentTextChar">
    <w:name w:val="Comment Text Char"/>
    <w:link w:val="CommentText"/>
    <w:uiPriority w:val="99"/>
    <w:semiHidden/>
    <w:rsid w:val="00792B64"/>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92B64"/>
    <w:rPr>
      <w:b/>
      <w:bCs/>
    </w:rPr>
  </w:style>
  <w:style w:type="character" w:customStyle="1" w:styleId="CommentSubjectChar">
    <w:name w:val="Comment Subject Char"/>
    <w:link w:val="CommentSubject"/>
    <w:uiPriority w:val="99"/>
    <w:semiHidden/>
    <w:rsid w:val="00792B64"/>
    <w:rPr>
      <w:rFonts w:ascii="Times New Roman" w:hAnsi="Times New Roman"/>
      <w:b/>
      <w:bCs/>
      <w:lang w:val="en-US" w:eastAsia="en-US"/>
    </w:rPr>
  </w:style>
  <w:style w:type="paragraph" w:styleId="BalloonText">
    <w:name w:val="Balloon Text"/>
    <w:basedOn w:val="Normal"/>
    <w:link w:val="BalloonTextChar"/>
    <w:uiPriority w:val="99"/>
    <w:semiHidden/>
    <w:unhideWhenUsed/>
    <w:rsid w:val="00792B64"/>
    <w:rPr>
      <w:rFonts w:ascii="Segoe UI" w:hAnsi="Segoe UI" w:cs="Segoe UI"/>
      <w:sz w:val="18"/>
      <w:szCs w:val="18"/>
    </w:rPr>
  </w:style>
  <w:style w:type="character" w:customStyle="1" w:styleId="BalloonTextChar">
    <w:name w:val="Balloon Text Char"/>
    <w:link w:val="BalloonText"/>
    <w:uiPriority w:val="99"/>
    <w:semiHidden/>
    <w:rsid w:val="00792B64"/>
    <w:rPr>
      <w:rFonts w:ascii="Segoe UI" w:hAnsi="Segoe UI" w:cs="Segoe UI"/>
      <w:sz w:val="18"/>
      <w:szCs w:val="18"/>
      <w:lang w:val="en-US" w:eastAsia="en-US"/>
    </w:rPr>
  </w:style>
  <w:style w:type="paragraph" w:styleId="ListParagraph">
    <w:name w:val="List Paragraph"/>
    <w:basedOn w:val="Normal"/>
    <w:uiPriority w:val="34"/>
    <w:qFormat/>
    <w:rsid w:val="009E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43369">
      <w:bodyDiv w:val="1"/>
      <w:marLeft w:val="0"/>
      <w:marRight w:val="0"/>
      <w:marTop w:val="0"/>
      <w:marBottom w:val="0"/>
      <w:divBdr>
        <w:top w:val="none" w:sz="0" w:space="0" w:color="auto"/>
        <w:left w:val="none" w:sz="0" w:space="0" w:color="auto"/>
        <w:bottom w:val="none" w:sz="0" w:space="0" w:color="auto"/>
        <w:right w:val="none" w:sz="0" w:space="0" w:color="auto"/>
      </w:divBdr>
      <w:divsChild>
        <w:div w:id="62795624">
          <w:marLeft w:val="0"/>
          <w:marRight w:val="0"/>
          <w:marTop w:val="0"/>
          <w:marBottom w:val="0"/>
          <w:divBdr>
            <w:top w:val="none" w:sz="0" w:space="0" w:color="auto"/>
            <w:left w:val="none" w:sz="0" w:space="0" w:color="auto"/>
            <w:bottom w:val="none" w:sz="0" w:space="0" w:color="auto"/>
            <w:right w:val="none" w:sz="0" w:space="0" w:color="auto"/>
          </w:divBdr>
        </w:div>
        <w:div w:id="954943339">
          <w:marLeft w:val="0"/>
          <w:marRight w:val="0"/>
          <w:marTop w:val="0"/>
          <w:marBottom w:val="0"/>
          <w:divBdr>
            <w:top w:val="none" w:sz="0" w:space="0" w:color="auto"/>
            <w:left w:val="none" w:sz="0" w:space="0" w:color="auto"/>
            <w:bottom w:val="none" w:sz="0" w:space="0" w:color="auto"/>
            <w:right w:val="none" w:sz="0" w:space="0" w:color="auto"/>
          </w:divBdr>
        </w:div>
        <w:div w:id="1716659678">
          <w:marLeft w:val="0"/>
          <w:marRight w:val="0"/>
          <w:marTop w:val="0"/>
          <w:marBottom w:val="0"/>
          <w:divBdr>
            <w:top w:val="none" w:sz="0" w:space="0" w:color="auto"/>
            <w:left w:val="none" w:sz="0" w:space="0" w:color="auto"/>
            <w:bottom w:val="none" w:sz="0" w:space="0" w:color="auto"/>
            <w:right w:val="none" w:sz="0" w:space="0" w:color="auto"/>
          </w:divBdr>
        </w:div>
      </w:divsChild>
    </w:div>
    <w:div w:id="1849784505">
      <w:bodyDiv w:val="1"/>
      <w:marLeft w:val="0"/>
      <w:marRight w:val="0"/>
      <w:marTop w:val="0"/>
      <w:marBottom w:val="0"/>
      <w:divBdr>
        <w:top w:val="none" w:sz="0" w:space="0" w:color="auto"/>
        <w:left w:val="none" w:sz="0" w:space="0" w:color="auto"/>
        <w:bottom w:val="none" w:sz="0" w:space="0" w:color="auto"/>
        <w:right w:val="none" w:sz="0" w:space="0" w:color="auto"/>
      </w:divBdr>
      <w:divsChild>
        <w:div w:id="907348015">
          <w:marLeft w:val="0"/>
          <w:marRight w:val="0"/>
          <w:marTop w:val="0"/>
          <w:marBottom w:val="0"/>
          <w:divBdr>
            <w:top w:val="none" w:sz="0" w:space="0" w:color="auto"/>
            <w:left w:val="none" w:sz="0" w:space="0" w:color="auto"/>
            <w:bottom w:val="none" w:sz="0" w:space="0" w:color="auto"/>
            <w:right w:val="none" w:sz="0" w:space="0" w:color="auto"/>
          </w:divBdr>
        </w:div>
        <w:div w:id="1378896769">
          <w:marLeft w:val="0"/>
          <w:marRight w:val="0"/>
          <w:marTop w:val="0"/>
          <w:marBottom w:val="0"/>
          <w:divBdr>
            <w:top w:val="none" w:sz="0" w:space="0" w:color="auto"/>
            <w:left w:val="none" w:sz="0" w:space="0" w:color="auto"/>
            <w:bottom w:val="none" w:sz="0" w:space="0" w:color="auto"/>
            <w:right w:val="none" w:sz="0" w:space="0" w:color="auto"/>
          </w:divBdr>
        </w:div>
      </w:divsChild>
    </w:div>
    <w:div w:id="2092655437">
      <w:bodyDiv w:val="1"/>
      <w:marLeft w:val="0"/>
      <w:marRight w:val="0"/>
      <w:marTop w:val="0"/>
      <w:marBottom w:val="0"/>
      <w:divBdr>
        <w:top w:val="none" w:sz="0" w:space="0" w:color="auto"/>
        <w:left w:val="none" w:sz="0" w:space="0" w:color="auto"/>
        <w:bottom w:val="none" w:sz="0" w:space="0" w:color="auto"/>
        <w:right w:val="none" w:sz="0" w:space="0" w:color="auto"/>
      </w:divBdr>
      <w:divsChild>
        <w:div w:id="80495366">
          <w:marLeft w:val="0"/>
          <w:marRight w:val="0"/>
          <w:marTop w:val="0"/>
          <w:marBottom w:val="0"/>
          <w:divBdr>
            <w:top w:val="none" w:sz="0" w:space="0" w:color="auto"/>
            <w:left w:val="none" w:sz="0" w:space="0" w:color="auto"/>
            <w:bottom w:val="none" w:sz="0" w:space="0" w:color="auto"/>
            <w:right w:val="none" w:sz="0" w:space="0" w:color="auto"/>
          </w:divBdr>
        </w:div>
        <w:div w:id="940995972">
          <w:marLeft w:val="0"/>
          <w:marRight w:val="0"/>
          <w:marTop w:val="0"/>
          <w:marBottom w:val="0"/>
          <w:divBdr>
            <w:top w:val="none" w:sz="0" w:space="0" w:color="auto"/>
            <w:left w:val="none" w:sz="0" w:space="0" w:color="auto"/>
            <w:bottom w:val="none" w:sz="0" w:space="0" w:color="auto"/>
            <w:right w:val="none" w:sz="0" w:space="0" w:color="auto"/>
          </w:divBdr>
        </w:div>
        <w:div w:id="1308821351">
          <w:marLeft w:val="0"/>
          <w:marRight w:val="0"/>
          <w:marTop w:val="0"/>
          <w:marBottom w:val="0"/>
          <w:divBdr>
            <w:top w:val="none" w:sz="0" w:space="0" w:color="auto"/>
            <w:left w:val="none" w:sz="0" w:space="0" w:color="auto"/>
            <w:bottom w:val="none" w:sz="0" w:space="0" w:color="auto"/>
            <w:right w:val="none" w:sz="0" w:space="0" w:color="auto"/>
          </w:divBdr>
        </w:div>
        <w:div w:id="1590852491">
          <w:marLeft w:val="0"/>
          <w:marRight w:val="0"/>
          <w:marTop w:val="0"/>
          <w:marBottom w:val="0"/>
          <w:divBdr>
            <w:top w:val="none" w:sz="0" w:space="0" w:color="auto"/>
            <w:left w:val="none" w:sz="0" w:space="0" w:color="auto"/>
            <w:bottom w:val="none" w:sz="0" w:space="0" w:color="auto"/>
            <w:right w:val="none" w:sz="0" w:space="0" w:color="auto"/>
          </w:divBdr>
        </w:div>
        <w:div w:id="160473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knezevic@ferit.hr"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jel.topic@ferit.hr"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n21.net/wp-content/uploads/2017/06/17-8399_GSR_2017_Full_Report_0621_Opt.pdf" TargetMode="External"/><Relationship Id="rId1" Type="http://schemas.openxmlformats.org/officeDocument/2006/relationships/numbering" Target="numbering.xml"/><Relationship Id="rId6" Type="http://schemas.openxmlformats.org/officeDocument/2006/relationships/hyperlink" Target="mailto:mario.primorac@ferit.hr" TargetMode="External"/><Relationship Id="rId11" Type="http://schemas.openxmlformats.org/officeDocument/2006/relationships/image" Target="media/image2.jpeg"/><Relationship Id="rId5" Type="http://schemas.openxmlformats.org/officeDocument/2006/relationships/hyperlink" Target="mailto:zvonimir.klaic@ferit.hr" TargetMode="Externa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opic\Dropbox\MedPow2018\Slavonske%20&#382;upanije%20-%20stanje%2030.06.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Sheet1!$B$3</c:f>
              <c:strCache>
                <c:ptCount val="1"/>
                <c:pt idx="0">
                  <c:v>biomass</c:v>
                </c:pt>
              </c:strCache>
            </c:strRef>
          </c:tx>
          <c:spPr>
            <a:solidFill>
              <a:schemeClr val="accent1"/>
            </a:solidFill>
            <a:ln>
              <a:noFill/>
            </a:ln>
            <a:effectLst/>
          </c:spPr>
          <c:invertIfNegative val="0"/>
          <c:cat>
            <c:strRef>
              <c:f>Sheet1!$C$2:$G$2</c:f>
              <c:strCache>
                <c:ptCount val="5"/>
                <c:pt idx="0">
                  <c:v>OBŽ</c:v>
                </c:pt>
                <c:pt idx="1">
                  <c:v>VSŽ</c:v>
                </c:pt>
                <c:pt idx="2">
                  <c:v>PSŽ</c:v>
                </c:pt>
                <c:pt idx="3">
                  <c:v>BPŽ</c:v>
                </c:pt>
                <c:pt idx="4">
                  <c:v>VPŽ</c:v>
                </c:pt>
              </c:strCache>
            </c:strRef>
          </c:cat>
          <c:val>
            <c:numRef>
              <c:f>Sheet1!$C$3:$G$3</c:f>
              <c:numCache>
                <c:formatCode>0.00</c:formatCode>
                <c:ptCount val="5"/>
                <c:pt idx="0">
                  <c:v>11.364000000000001</c:v>
                </c:pt>
                <c:pt idx="1">
                  <c:v>8.9</c:v>
                </c:pt>
                <c:pt idx="2">
                  <c:v>1.5249999999999999</c:v>
                </c:pt>
                <c:pt idx="3">
                  <c:v>6.66</c:v>
                </c:pt>
                <c:pt idx="4">
                  <c:v>0</c:v>
                </c:pt>
              </c:numCache>
            </c:numRef>
          </c:val>
          <c:extLst xmlns:c16r2="http://schemas.microsoft.com/office/drawing/2015/06/chart">
            <c:ext xmlns:c16="http://schemas.microsoft.com/office/drawing/2014/chart" uri="{C3380CC4-5D6E-409C-BE32-E72D297353CC}">
              <c16:uniqueId val="{00000000-7069-4718-8599-1C6859F0CDF3}"/>
            </c:ext>
          </c:extLst>
        </c:ser>
        <c:ser>
          <c:idx val="1"/>
          <c:order val="1"/>
          <c:tx>
            <c:strRef>
              <c:f>Sheet1!$B$4</c:f>
              <c:strCache>
                <c:ptCount val="1"/>
                <c:pt idx="0">
                  <c:v>biogass</c:v>
                </c:pt>
              </c:strCache>
            </c:strRef>
          </c:tx>
          <c:spPr>
            <a:solidFill>
              <a:schemeClr val="accent2"/>
            </a:solidFill>
            <a:ln>
              <a:noFill/>
            </a:ln>
            <a:effectLst/>
          </c:spPr>
          <c:invertIfNegative val="0"/>
          <c:cat>
            <c:strRef>
              <c:f>Sheet1!$C$2:$G$2</c:f>
              <c:strCache>
                <c:ptCount val="5"/>
                <c:pt idx="0">
                  <c:v>OBŽ</c:v>
                </c:pt>
                <c:pt idx="1">
                  <c:v>VSŽ</c:v>
                </c:pt>
                <c:pt idx="2">
                  <c:v>PSŽ</c:v>
                </c:pt>
                <c:pt idx="3">
                  <c:v>BPŽ</c:v>
                </c:pt>
                <c:pt idx="4">
                  <c:v>VPŽ</c:v>
                </c:pt>
              </c:strCache>
            </c:strRef>
          </c:cat>
          <c:val>
            <c:numRef>
              <c:f>Sheet1!$C$4:$G$4</c:f>
              <c:numCache>
                <c:formatCode>0.00</c:formatCode>
                <c:ptCount val="5"/>
                <c:pt idx="0">
                  <c:v>13.289</c:v>
                </c:pt>
                <c:pt idx="1">
                  <c:v>7.2990000000000004</c:v>
                </c:pt>
                <c:pt idx="2">
                  <c:v>0</c:v>
                </c:pt>
                <c:pt idx="3">
                  <c:v>0</c:v>
                </c:pt>
                <c:pt idx="4">
                  <c:v>3</c:v>
                </c:pt>
              </c:numCache>
            </c:numRef>
          </c:val>
          <c:extLst xmlns:c16r2="http://schemas.microsoft.com/office/drawing/2015/06/chart">
            <c:ext xmlns:c16="http://schemas.microsoft.com/office/drawing/2014/chart" uri="{C3380CC4-5D6E-409C-BE32-E72D297353CC}">
              <c16:uniqueId val="{00000001-7069-4718-8599-1C6859F0CDF3}"/>
            </c:ext>
          </c:extLst>
        </c:ser>
        <c:ser>
          <c:idx val="2"/>
          <c:order val="2"/>
          <c:tx>
            <c:strRef>
              <c:f>Sheet1!$B$5</c:f>
              <c:strCache>
                <c:ptCount val="1"/>
                <c:pt idx="0">
                  <c:v>PV</c:v>
                </c:pt>
              </c:strCache>
            </c:strRef>
          </c:tx>
          <c:spPr>
            <a:solidFill>
              <a:schemeClr val="accent3"/>
            </a:solidFill>
            <a:ln>
              <a:noFill/>
            </a:ln>
            <a:effectLst/>
          </c:spPr>
          <c:invertIfNegative val="0"/>
          <c:cat>
            <c:strRef>
              <c:f>Sheet1!$C$2:$G$2</c:f>
              <c:strCache>
                <c:ptCount val="5"/>
                <c:pt idx="0">
                  <c:v>OBŽ</c:v>
                </c:pt>
                <c:pt idx="1">
                  <c:v>VSŽ</c:v>
                </c:pt>
                <c:pt idx="2">
                  <c:v>PSŽ</c:v>
                </c:pt>
                <c:pt idx="3">
                  <c:v>BPŽ</c:v>
                </c:pt>
                <c:pt idx="4">
                  <c:v>VPŽ</c:v>
                </c:pt>
              </c:strCache>
            </c:strRef>
          </c:cat>
          <c:val>
            <c:numRef>
              <c:f>Sheet1!$C$5:$G$5</c:f>
              <c:numCache>
                <c:formatCode>0.00</c:formatCode>
                <c:ptCount val="5"/>
                <c:pt idx="0">
                  <c:v>6.9746100000000002</c:v>
                </c:pt>
                <c:pt idx="1">
                  <c:v>3.0098500000000006</c:v>
                </c:pt>
                <c:pt idx="2">
                  <c:v>0.67376999999999998</c:v>
                </c:pt>
                <c:pt idx="3">
                  <c:v>2.2850700000000002</c:v>
                </c:pt>
                <c:pt idx="4">
                  <c:v>1.1179999999999999</c:v>
                </c:pt>
              </c:numCache>
            </c:numRef>
          </c:val>
          <c:extLst xmlns:c16r2="http://schemas.microsoft.com/office/drawing/2015/06/chart">
            <c:ext xmlns:c16="http://schemas.microsoft.com/office/drawing/2014/chart" uri="{C3380CC4-5D6E-409C-BE32-E72D297353CC}">
              <c16:uniqueId val="{00000002-7069-4718-8599-1C6859F0CDF3}"/>
            </c:ext>
          </c:extLst>
        </c:ser>
        <c:ser>
          <c:idx val="3"/>
          <c:order val="3"/>
          <c:tx>
            <c:strRef>
              <c:f>Sheet1!$B$6</c:f>
              <c:strCache>
                <c:ptCount val="1"/>
                <c:pt idx="0">
                  <c:v>CHP</c:v>
                </c:pt>
              </c:strCache>
            </c:strRef>
          </c:tx>
          <c:spPr>
            <a:solidFill>
              <a:schemeClr val="accent4"/>
            </a:solidFill>
            <a:ln>
              <a:noFill/>
            </a:ln>
            <a:effectLst/>
          </c:spPr>
          <c:invertIfNegative val="0"/>
          <c:cat>
            <c:strRef>
              <c:f>Sheet1!$C$2:$G$2</c:f>
              <c:strCache>
                <c:ptCount val="5"/>
                <c:pt idx="0">
                  <c:v>OBŽ</c:v>
                </c:pt>
                <c:pt idx="1">
                  <c:v>VSŽ</c:v>
                </c:pt>
                <c:pt idx="2">
                  <c:v>PSŽ</c:v>
                </c:pt>
                <c:pt idx="3">
                  <c:v>BPŽ</c:v>
                </c:pt>
                <c:pt idx="4">
                  <c:v>VPŽ</c:v>
                </c:pt>
              </c:strCache>
            </c:strRef>
          </c:cat>
          <c:val>
            <c:numRef>
              <c:f>Sheet1!$C$6:$G$6</c:f>
              <c:numCache>
                <c:formatCode>0.00</c:formatCode>
                <c:ptCount val="5"/>
                <c:pt idx="0">
                  <c:v>1.8</c:v>
                </c:pt>
                <c:pt idx="1">
                  <c:v>11</c:v>
                </c:pt>
                <c:pt idx="2">
                  <c:v>0</c:v>
                </c:pt>
                <c:pt idx="3">
                  <c:v>0</c:v>
                </c:pt>
                <c:pt idx="4">
                  <c:v>0</c:v>
                </c:pt>
              </c:numCache>
            </c:numRef>
          </c:val>
          <c:extLst xmlns:c16r2="http://schemas.microsoft.com/office/drawing/2015/06/chart">
            <c:ext xmlns:c16="http://schemas.microsoft.com/office/drawing/2014/chart" uri="{C3380CC4-5D6E-409C-BE32-E72D297353CC}">
              <c16:uniqueId val="{00000003-7069-4718-8599-1C6859F0CDF3}"/>
            </c:ext>
          </c:extLst>
        </c:ser>
        <c:ser>
          <c:idx val="4"/>
          <c:order val="4"/>
          <c:tx>
            <c:strRef>
              <c:f>Sheet1!$B$7</c:f>
              <c:strCache>
                <c:ptCount val="1"/>
                <c:pt idx="0">
                  <c:v>small hydro</c:v>
                </c:pt>
              </c:strCache>
            </c:strRef>
          </c:tx>
          <c:spPr>
            <a:solidFill>
              <a:schemeClr val="accent5"/>
            </a:solidFill>
            <a:ln>
              <a:noFill/>
            </a:ln>
            <a:effectLst/>
          </c:spPr>
          <c:invertIfNegative val="0"/>
          <c:cat>
            <c:strRef>
              <c:f>Sheet1!$C$2:$G$2</c:f>
              <c:strCache>
                <c:ptCount val="5"/>
                <c:pt idx="0">
                  <c:v>OBŽ</c:v>
                </c:pt>
                <c:pt idx="1">
                  <c:v>VSŽ</c:v>
                </c:pt>
                <c:pt idx="2">
                  <c:v>PSŽ</c:v>
                </c:pt>
                <c:pt idx="3">
                  <c:v>BPŽ</c:v>
                </c:pt>
                <c:pt idx="4">
                  <c:v>VPŽ</c:v>
                </c:pt>
              </c:strCache>
            </c:strRef>
          </c:cat>
          <c:val>
            <c:numRef>
              <c:f>Sheet1!$C$7:$G$7</c:f>
              <c:numCache>
                <c:formatCode>0.00</c:formatCode>
                <c:ptCount val="5"/>
                <c:pt idx="0">
                  <c:v>0</c:v>
                </c:pt>
                <c:pt idx="1">
                  <c:v>0</c:v>
                </c:pt>
                <c:pt idx="2">
                  <c:v>0.51700000000000002</c:v>
                </c:pt>
                <c:pt idx="3">
                  <c:v>0</c:v>
                </c:pt>
                <c:pt idx="4">
                  <c:v>0</c:v>
                </c:pt>
              </c:numCache>
            </c:numRef>
          </c:val>
          <c:extLst xmlns:c16r2="http://schemas.microsoft.com/office/drawing/2015/06/chart">
            <c:ext xmlns:c16="http://schemas.microsoft.com/office/drawing/2014/chart" uri="{C3380CC4-5D6E-409C-BE32-E72D297353CC}">
              <c16:uniqueId val="{00000004-7069-4718-8599-1C6859F0CDF3}"/>
            </c:ext>
          </c:extLst>
        </c:ser>
        <c:dLbls>
          <c:showLegendKey val="0"/>
          <c:showVal val="0"/>
          <c:showCatName val="0"/>
          <c:showSerName val="0"/>
          <c:showPercent val="0"/>
          <c:showBubbleSize val="0"/>
        </c:dLbls>
        <c:gapWidth val="219"/>
        <c:overlap val="-27"/>
        <c:axId val="1796519872"/>
        <c:axId val="1796517696"/>
      </c:barChart>
      <c:catAx>
        <c:axId val="179651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6517696"/>
        <c:crosses val="autoZero"/>
        <c:auto val="1"/>
        <c:lblAlgn val="ctr"/>
        <c:lblOffset val="100"/>
        <c:noMultiLvlLbl val="0"/>
      </c:catAx>
      <c:valAx>
        <c:axId val="1796517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a:t>installed capcity (MW)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9651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3263</Words>
  <Characters>18600</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21820</CharactersWithSpaces>
  <SharedDoc>false</SharedDoc>
  <HLinks>
    <vt:vector size="30" baseType="variant">
      <vt:variant>
        <vt:i4>6160411</vt:i4>
      </vt:variant>
      <vt:variant>
        <vt:i4>12</vt:i4>
      </vt:variant>
      <vt:variant>
        <vt:i4>0</vt:i4>
      </vt:variant>
      <vt:variant>
        <vt:i4>5</vt:i4>
      </vt:variant>
      <vt:variant>
        <vt:lpwstr>http://www.ren21.net/wp-content/uploads/2017/06/17-8399_GSR_2017_Full_Report_0621_Opt.pdf</vt:lpwstr>
      </vt:variant>
      <vt:variant>
        <vt:lpwstr/>
      </vt:variant>
      <vt:variant>
        <vt:i4>720995</vt:i4>
      </vt:variant>
      <vt:variant>
        <vt:i4>9</vt:i4>
      </vt:variant>
      <vt:variant>
        <vt:i4>0</vt:i4>
      </vt:variant>
      <vt:variant>
        <vt:i4>5</vt:i4>
      </vt:variant>
      <vt:variant>
        <vt:lpwstr>mailto:goran.knezevic@ferit.hr</vt:lpwstr>
      </vt:variant>
      <vt:variant>
        <vt:lpwstr/>
      </vt:variant>
      <vt:variant>
        <vt:i4>65645</vt:i4>
      </vt:variant>
      <vt:variant>
        <vt:i4>6</vt:i4>
      </vt:variant>
      <vt:variant>
        <vt:i4>0</vt:i4>
      </vt:variant>
      <vt:variant>
        <vt:i4>5</vt:i4>
      </vt:variant>
      <vt:variant>
        <vt:lpwstr>mailto:danijel.topic@ferit.hr</vt:lpwstr>
      </vt:variant>
      <vt:variant>
        <vt:lpwstr/>
      </vt:variant>
      <vt:variant>
        <vt:i4>1376362</vt:i4>
      </vt:variant>
      <vt:variant>
        <vt:i4>3</vt:i4>
      </vt:variant>
      <vt:variant>
        <vt:i4>0</vt:i4>
      </vt:variant>
      <vt:variant>
        <vt:i4>5</vt:i4>
      </vt:variant>
      <vt:variant>
        <vt:lpwstr>mailto:mario.primorac@ferit.hr</vt:lpwstr>
      </vt:variant>
      <vt:variant>
        <vt:lpwstr/>
      </vt:variant>
      <vt:variant>
        <vt:i4>4980780</vt:i4>
      </vt:variant>
      <vt:variant>
        <vt:i4>0</vt:i4>
      </vt:variant>
      <vt:variant>
        <vt:i4>0</vt:i4>
      </vt:variant>
      <vt:variant>
        <vt:i4>5</vt:i4>
      </vt:variant>
      <vt:variant>
        <vt:lpwstr>mailto:zvonimir.klaic@ferit.hr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zvonimir klaic</cp:lastModifiedBy>
  <cp:revision>2</cp:revision>
  <cp:lastPrinted>2018-09-20T11:03:00Z</cp:lastPrinted>
  <dcterms:created xsi:type="dcterms:W3CDTF">2018-11-07T08:41:00Z</dcterms:created>
  <dcterms:modified xsi:type="dcterms:W3CDTF">2018-11-07T08:41:00Z</dcterms:modified>
</cp:coreProperties>
</file>