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E1B8" w14:textId="77777777" w:rsidR="00EF78DB" w:rsidRPr="00EF78DB" w:rsidRDefault="00EF78DB" w:rsidP="00EF7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Italic"/>
          <w:b/>
          <w:bCs/>
          <w:color w:val="000000"/>
        </w:rPr>
      </w:pPr>
      <w:r w:rsidRPr="00EF78DB">
        <w:rPr>
          <w:rFonts w:cs="Cambria Italic"/>
          <w:b/>
          <w:bCs/>
          <w:color w:val="000000"/>
        </w:rPr>
        <w:t>Croatia and EU Asylum Law: Playing on the Sidelines or at the Centre of Events?</w:t>
      </w:r>
    </w:p>
    <w:p w14:paraId="15AD54EB" w14:textId="77777777" w:rsidR="00EF78DB" w:rsidRDefault="00EF78DB" w:rsidP="00EF7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Italic"/>
          <w:b/>
          <w:bCs/>
          <w:color w:val="000000"/>
          <w:position w:val="6"/>
        </w:rPr>
      </w:pPr>
      <w:r w:rsidRPr="00EF78DB">
        <w:rPr>
          <w:rFonts w:cs="Cambria Italic"/>
          <w:b/>
          <w:bCs/>
          <w:color w:val="000000"/>
        </w:rPr>
        <w:t>Iris Goldner Lang</w:t>
      </w:r>
      <w:r w:rsidRPr="00EF78DB">
        <w:rPr>
          <w:rFonts w:cs="Cambria Italic"/>
          <w:b/>
          <w:bCs/>
          <w:color w:val="000000"/>
          <w:position w:val="6"/>
        </w:rPr>
        <w:t>*</w:t>
      </w:r>
    </w:p>
    <w:p w14:paraId="43D62530" w14:textId="77777777" w:rsidR="00EF78DB" w:rsidRPr="00EF78DB" w:rsidRDefault="00EF78DB" w:rsidP="00EF7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Italic"/>
          <w:b/>
          <w:bCs/>
          <w:color w:val="000000"/>
          <w:position w:val="6"/>
        </w:rPr>
      </w:pPr>
      <w:bookmarkStart w:id="0" w:name="_GoBack"/>
      <w:bookmarkEnd w:id="0"/>
    </w:p>
    <w:p w14:paraId="359F85A0" w14:textId="77777777" w:rsidR="00EF78DB" w:rsidRPr="00EF78DB" w:rsidRDefault="00EF78DB" w:rsidP="00EF7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Italic"/>
          <w:b/>
          <w:bCs/>
          <w:color w:val="000000"/>
        </w:rPr>
      </w:pPr>
      <w:r w:rsidRPr="00EF78DB">
        <w:rPr>
          <w:rFonts w:cs="Cambria Italic"/>
          <w:b/>
          <w:bCs/>
          <w:color w:val="000000"/>
        </w:rPr>
        <w:t xml:space="preserve">In V. </w:t>
      </w:r>
      <w:proofErr w:type="spellStart"/>
      <w:r w:rsidRPr="00EF78DB">
        <w:rPr>
          <w:rFonts w:cs="Cambria Italic"/>
          <w:b/>
          <w:bCs/>
          <w:color w:val="000000"/>
        </w:rPr>
        <w:t>Stoyanova</w:t>
      </w:r>
      <w:proofErr w:type="spellEnd"/>
      <w:r w:rsidRPr="00EF78DB">
        <w:rPr>
          <w:rFonts w:cs="Cambria Italic"/>
          <w:b/>
          <w:bCs/>
          <w:color w:val="000000"/>
        </w:rPr>
        <w:t xml:space="preserve"> and E. </w:t>
      </w:r>
      <w:proofErr w:type="spellStart"/>
      <w:r w:rsidRPr="00EF78DB">
        <w:rPr>
          <w:rFonts w:cs="Cambria Italic"/>
          <w:b/>
          <w:bCs/>
          <w:color w:val="000000"/>
        </w:rPr>
        <w:t>Karageorgiou</w:t>
      </w:r>
      <w:proofErr w:type="spellEnd"/>
      <w:r w:rsidRPr="00EF78DB">
        <w:rPr>
          <w:rFonts w:cs="Cambria Italic"/>
          <w:b/>
          <w:bCs/>
          <w:color w:val="000000"/>
        </w:rPr>
        <w:t xml:space="preserve"> (eds.)</w:t>
      </w:r>
      <w:proofErr w:type="gramStart"/>
      <w:r w:rsidRPr="00EF78DB">
        <w:rPr>
          <w:rFonts w:cs="Cambria Italic"/>
          <w:b/>
          <w:bCs/>
          <w:color w:val="000000"/>
        </w:rPr>
        <w:t>,The</w:t>
      </w:r>
      <w:proofErr w:type="gramEnd"/>
      <w:r w:rsidRPr="00EF78DB">
        <w:rPr>
          <w:rFonts w:cs="Cambria Italic"/>
          <w:b/>
          <w:bCs/>
          <w:color w:val="000000"/>
        </w:rPr>
        <w:t xml:space="preserve"> New Asylum and Transit Countries in Europe During and in the Aftermath of the 2015/2016 Crisis, Brill, 2018, pp. 93-112.</w:t>
      </w:r>
    </w:p>
    <w:p w14:paraId="6A631A7C" w14:textId="77777777" w:rsidR="00C502B0" w:rsidRPr="00F87C1B" w:rsidRDefault="00C502B0" w:rsidP="00C502B0">
      <w:pPr>
        <w:rPr>
          <w:lang w:val="en-GB"/>
        </w:rPr>
      </w:pPr>
    </w:p>
    <w:p w14:paraId="76FBEC59" w14:textId="77777777" w:rsidR="00C502B0" w:rsidRPr="00F87C1B" w:rsidRDefault="00C502B0" w:rsidP="00C502B0">
      <w:pPr>
        <w:rPr>
          <w:lang w:val="en-GB"/>
        </w:rPr>
      </w:pPr>
    </w:p>
    <w:p w14:paraId="39A7025A" w14:textId="77777777" w:rsidR="00CC1B6B" w:rsidRPr="00F87C1B" w:rsidRDefault="00CC1B6B" w:rsidP="001F49DD">
      <w:pPr>
        <w:jc w:val="both"/>
        <w:outlineLvl w:val="0"/>
        <w:rPr>
          <w:b/>
          <w:lang w:val="en-GB"/>
        </w:rPr>
      </w:pPr>
      <w:r w:rsidRPr="00F87C1B">
        <w:rPr>
          <w:b/>
          <w:lang w:val="en-GB"/>
        </w:rPr>
        <w:t>1. Introduction</w:t>
      </w:r>
    </w:p>
    <w:p w14:paraId="5711FF73" w14:textId="77777777" w:rsidR="00CC1B6B" w:rsidRPr="00F87C1B" w:rsidRDefault="00CC1B6B" w:rsidP="007F0200">
      <w:pPr>
        <w:jc w:val="both"/>
        <w:rPr>
          <w:lang w:val="en-GB"/>
        </w:rPr>
      </w:pPr>
    </w:p>
    <w:p w14:paraId="6881C6ED" w14:textId="36E370CE" w:rsidR="00E93BCD" w:rsidRPr="00F87C1B" w:rsidRDefault="00A20D85" w:rsidP="007F0200">
      <w:pPr>
        <w:jc w:val="both"/>
        <w:rPr>
          <w:highlight w:val="yellow"/>
          <w:lang w:val="en-GB"/>
        </w:rPr>
      </w:pPr>
      <w:r w:rsidRPr="00F87C1B">
        <w:rPr>
          <w:lang w:val="en-GB"/>
        </w:rPr>
        <w:t xml:space="preserve">This </w:t>
      </w:r>
      <w:r w:rsidR="00AD42CF">
        <w:rPr>
          <w:lang w:val="en-GB"/>
        </w:rPr>
        <w:t>chapter</w:t>
      </w:r>
      <w:r w:rsidR="00AD42CF" w:rsidRPr="00F87C1B">
        <w:rPr>
          <w:lang w:val="en-GB"/>
        </w:rPr>
        <w:t xml:space="preserve"> </w:t>
      </w:r>
      <w:r w:rsidRPr="00F87C1B">
        <w:rPr>
          <w:lang w:val="en-GB"/>
        </w:rPr>
        <w:t>di</w:t>
      </w:r>
      <w:r w:rsidR="00A3433D" w:rsidRPr="00F87C1B">
        <w:rPr>
          <w:lang w:val="en-GB"/>
        </w:rPr>
        <w:t>scuss</w:t>
      </w:r>
      <w:r w:rsidR="00F87C1B">
        <w:rPr>
          <w:lang w:val="en-GB"/>
        </w:rPr>
        <w:t>es</w:t>
      </w:r>
      <w:r w:rsidR="00A3433D" w:rsidRPr="00F87C1B">
        <w:rPr>
          <w:lang w:val="en-GB"/>
        </w:rPr>
        <w:t xml:space="preserve"> the most important recent developments in</w:t>
      </w:r>
      <w:r w:rsidRPr="00F87C1B">
        <w:rPr>
          <w:lang w:val="en-GB"/>
        </w:rPr>
        <w:t xml:space="preserve"> asylum law and practice in Croatia. It concentrate</w:t>
      </w:r>
      <w:r w:rsidR="00F87C1B">
        <w:rPr>
          <w:lang w:val="en-GB"/>
        </w:rPr>
        <w:t>s</w:t>
      </w:r>
      <w:r w:rsidRPr="00F87C1B">
        <w:rPr>
          <w:lang w:val="en-GB"/>
        </w:rPr>
        <w:t xml:space="preserve"> on the major legal and reality challenges in the context of the recent refugee </w:t>
      </w:r>
      <w:r w:rsidR="00BE7EDC" w:rsidRPr="00F87C1B">
        <w:rPr>
          <w:lang w:val="en-GB"/>
        </w:rPr>
        <w:t>influx</w:t>
      </w:r>
      <w:r w:rsidRPr="00F87C1B">
        <w:rPr>
          <w:lang w:val="en-GB"/>
        </w:rPr>
        <w:t xml:space="preserve"> and, in particular</w:t>
      </w:r>
      <w:r w:rsidR="00F87C1B">
        <w:rPr>
          <w:lang w:val="en-GB"/>
        </w:rPr>
        <w:t>,</w:t>
      </w:r>
      <w:r w:rsidR="006D44D9" w:rsidRPr="00F87C1B">
        <w:rPr>
          <w:lang w:val="en-GB"/>
        </w:rPr>
        <w:t xml:space="preserve"> on</w:t>
      </w:r>
      <w:r w:rsidRPr="00F87C1B">
        <w:rPr>
          <w:lang w:val="en-GB"/>
        </w:rPr>
        <w:t xml:space="preserve"> the</w:t>
      </w:r>
      <w:r w:rsidR="006D44D9" w:rsidRPr="00F87C1B">
        <w:rPr>
          <w:lang w:val="en-GB"/>
        </w:rPr>
        <w:t xml:space="preserve"> legal consequence of</w:t>
      </w:r>
      <w:r w:rsidR="00BE7EDC" w:rsidRPr="00F87C1B">
        <w:rPr>
          <w:lang w:val="en-GB"/>
        </w:rPr>
        <w:t xml:space="preserve"> the</w:t>
      </w:r>
      <w:r w:rsidRPr="00F87C1B">
        <w:rPr>
          <w:lang w:val="en-GB"/>
        </w:rPr>
        <w:t xml:space="preserve"> creation of the Western Balkan</w:t>
      </w:r>
      <w:r w:rsidR="00574919" w:rsidRPr="00F87C1B">
        <w:rPr>
          <w:lang w:val="en-GB"/>
        </w:rPr>
        <w:t>s</w:t>
      </w:r>
      <w:r w:rsidR="00971235" w:rsidRPr="00F87C1B">
        <w:rPr>
          <w:lang w:val="en-GB"/>
        </w:rPr>
        <w:t xml:space="preserve"> route</w:t>
      </w:r>
      <w:r w:rsidR="00CA19ED" w:rsidRPr="00F87C1B">
        <w:rPr>
          <w:lang w:val="en-GB"/>
        </w:rPr>
        <w:t xml:space="preserve"> by </w:t>
      </w:r>
      <w:r w:rsidR="00B84406">
        <w:rPr>
          <w:lang w:val="en-GB"/>
        </w:rPr>
        <w:t>means of discussing</w:t>
      </w:r>
      <w:r w:rsidR="00CA19ED" w:rsidRPr="00F87C1B">
        <w:rPr>
          <w:lang w:val="en-GB"/>
        </w:rPr>
        <w:t xml:space="preserve"> the decisions of the Court of Justice of the European Union in </w:t>
      </w:r>
      <w:r w:rsidR="00CA19ED" w:rsidRPr="00F87C1B">
        <w:rPr>
          <w:i/>
          <w:lang w:val="en-GB"/>
        </w:rPr>
        <w:t xml:space="preserve">A.S. </w:t>
      </w:r>
      <w:r w:rsidR="00CA19ED" w:rsidRPr="00937E5F">
        <w:rPr>
          <w:lang w:val="en-GB"/>
        </w:rPr>
        <w:t>and</w:t>
      </w:r>
      <w:r w:rsidR="00CA19ED" w:rsidRPr="00F87C1B">
        <w:rPr>
          <w:i/>
          <w:lang w:val="en-GB"/>
        </w:rPr>
        <w:t xml:space="preserve"> </w:t>
      </w:r>
      <w:proofErr w:type="spellStart"/>
      <w:r w:rsidR="00CA19ED" w:rsidRPr="00F87C1B">
        <w:rPr>
          <w:i/>
          <w:lang w:val="en-GB"/>
        </w:rPr>
        <w:t>Jafari</w:t>
      </w:r>
      <w:proofErr w:type="spellEnd"/>
      <w:r w:rsidR="000C1FA1" w:rsidRPr="00F87C1B">
        <w:rPr>
          <w:rStyle w:val="FootnoteReference"/>
          <w:i/>
          <w:lang w:val="en-GB"/>
        </w:rPr>
        <w:footnoteReference w:id="1"/>
      </w:r>
      <w:r w:rsidR="00CA19ED" w:rsidRPr="00F87C1B">
        <w:rPr>
          <w:lang w:val="en-GB"/>
        </w:rPr>
        <w:t xml:space="preserve"> and in </w:t>
      </w:r>
      <w:proofErr w:type="spellStart"/>
      <w:r w:rsidR="00CA19ED" w:rsidRPr="00F87C1B">
        <w:rPr>
          <w:i/>
          <w:lang w:val="en-GB"/>
        </w:rPr>
        <w:t>Mengesteab</w:t>
      </w:r>
      <w:proofErr w:type="spellEnd"/>
      <w:r w:rsidRPr="00F87C1B">
        <w:rPr>
          <w:lang w:val="en-GB"/>
        </w:rPr>
        <w:t>.</w:t>
      </w:r>
      <w:r w:rsidR="00493C0E" w:rsidRPr="00F87C1B">
        <w:rPr>
          <w:rStyle w:val="FootnoteReference"/>
          <w:lang w:val="en-GB"/>
        </w:rPr>
        <w:footnoteReference w:id="2"/>
      </w:r>
      <w:r w:rsidRPr="00F87C1B">
        <w:rPr>
          <w:lang w:val="en-GB"/>
        </w:rPr>
        <w:t xml:space="preserve"> </w:t>
      </w:r>
      <w:r w:rsidR="007F0200" w:rsidRPr="00F87C1B">
        <w:rPr>
          <w:lang w:val="en-GB"/>
        </w:rPr>
        <w:t xml:space="preserve"> Despite the fact that </w:t>
      </w:r>
      <w:r w:rsidR="00B84406" w:rsidRPr="00F87C1B">
        <w:rPr>
          <w:lang w:val="en-GB"/>
        </w:rPr>
        <w:t xml:space="preserve">in the past </w:t>
      </w:r>
      <w:r w:rsidR="00B84406">
        <w:rPr>
          <w:lang w:val="en-GB"/>
        </w:rPr>
        <w:t xml:space="preserve">few </w:t>
      </w:r>
      <w:r w:rsidR="00B84406" w:rsidRPr="00F87C1B">
        <w:rPr>
          <w:lang w:val="en-GB"/>
        </w:rPr>
        <w:t xml:space="preserve">years </w:t>
      </w:r>
      <w:r w:rsidR="007F0200" w:rsidRPr="00F87C1B">
        <w:rPr>
          <w:lang w:val="en-GB"/>
        </w:rPr>
        <w:t xml:space="preserve">Croatia </w:t>
      </w:r>
      <w:r w:rsidR="00B84406">
        <w:rPr>
          <w:lang w:val="en-GB"/>
        </w:rPr>
        <w:t xml:space="preserve">has been </w:t>
      </w:r>
      <w:r w:rsidR="007F0200" w:rsidRPr="00F87C1B">
        <w:rPr>
          <w:lang w:val="en-GB"/>
        </w:rPr>
        <w:t xml:space="preserve">playing on the </w:t>
      </w:r>
      <w:proofErr w:type="spellStart"/>
      <w:r w:rsidR="007F0200" w:rsidRPr="00F87C1B">
        <w:rPr>
          <w:lang w:val="en-GB"/>
        </w:rPr>
        <w:t>sidelines</w:t>
      </w:r>
      <w:proofErr w:type="spellEnd"/>
      <w:r w:rsidR="007F0200" w:rsidRPr="00F87C1B">
        <w:rPr>
          <w:lang w:val="en-GB"/>
        </w:rPr>
        <w:t xml:space="preserve"> of EU asylum law and policy, </w:t>
      </w:r>
      <w:r w:rsidR="003710A9" w:rsidRPr="00F87C1B">
        <w:rPr>
          <w:lang w:val="en-GB"/>
        </w:rPr>
        <w:t>t</w:t>
      </w:r>
      <w:r w:rsidR="007F0200" w:rsidRPr="00F87C1B">
        <w:rPr>
          <w:lang w:val="en-GB"/>
        </w:rPr>
        <w:t>he development of asylum law and practice in Croatia can only be understood</w:t>
      </w:r>
      <w:r w:rsidR="00B01E99" w:rsidRPr="00F87C1B">
        <w:rPr>
          <w:lang w:val="en-GB"/>
        </w:rPr>
        <w:t xml:space="preserve"> in the context of </w:t>
      </w:r>
      <w:r w:rsidR="007F0200" w:rsidRPr="00F87C1B">
        <w:rPr>
          <w:lang w:val="en-GB"/>
        </w:rPr>
        <w:t xml:space="preserve">EU asylum rules, the </w:t>
      </w:r>
      <w:r w:rsidR="00136D76" w:rsidRPr="00F87C1B">
        <w:rPr>
          <w:lang w:val="en-GB"/>
        </w:rPr>
        <w:t>events</w:t>
      </w:r>
      <w:r w:rsidR="007F0200" w:rsidRPr="00F87C1B">
        <w:rPr>
          <w:lang w:val="en-GB"/>
        </w:rPr>
        <w:t xml:space="preserve"> on the Western Balkan</w:t>
      </w:r>
      <w:r w:rsidR="00574919" w:rsidRPr="00F87C1B">
        <w:rPr>
          <w:lang w:val="en-GB"/>
        </w:rPr>
        <w:t>s</w:t>
      </w:r>
      <w:r w:rsidR="007F0200" w:rsidRPr="00F87C1B">
        <w:rPr>
          <w:lang w:val="en-GB"/>
        </w:rPr>
        <w:t xml:space="preserve"> route</w:t>
      </w:r>
      <w:r w:rsidR="00255886">
        <w:rPr>
          <w:lang w:val="en-GB"/>
        </w:rPr>
        <w:t>,</w:t>
      </w:r>
      <w:r w:rsidR="00136D76" w:rsidRPr="00F87C1B">
        <w:rPr>
          <w:lang w:val="en-GB"/>
        </w:rPr>
        <w:t xml:space="preserve"> and the </w:t>
      </w:r>
      <w:r w:rsidR="00CE578E" w:rsidRPr="00F87C1B">
        <w:rPr>
          <w:lang w:val="en-GB"/>
        </w:rPr>
        <w:t>tension</w:t>
      </w:r>
      <w:r w:rsidR="004E1145" w:rsidRPr="00F87C1B">
        <w:rPr>
          <w:lang w:val="en-GB"/>
        </w:rPr>
        <w:t xml:space="preserve"> between human-rights</w:t>
      </w:r>
      <w:r w:rsidR="008C29F8" w:rsidRPr="00F87C1B">
        <w:rPr>
          <w:lang w:val="en-GB"/>
        </w:rPr>
        <w:t>-related ambitions</w:t>
      </w:r>
      <w:r w:rsidR="00D42CDE" w:rsidRPr="00F87C1B">
        <w:rPr>
          <w:lang w:val="en-GB"/>
        </w:rPr>
        <w:t>, on the one hand,</w:t>
      </w:r>
      <w:r w:rsidR="00136D76" w:rsidRPr="00F87C1B">
        <w:rPr>
          <w:lang w:val="en-GB"/>
        </w:rPr>
        <w:t xml:space="preserve"> and</w:t>
      </w:r>
      <w:r w:rsidR="00D42CDE" w:rsidRPr="00F87C1B">
        <w:rPr>
          <w:lang w:val="en-GB"/>
        </w:rPr>
        <w:t xml:space="preserve"> a combination of</w:t>
      </w:r>
      <w:r w:rsidR="00136D76" w:rsidRPr="00F87C1B">
        <w:rPr>
          <w:lang w:val="en-GB"/>
        </w:rPr>
        <w:t xml:space="preserve"> security</w:t>
      </w:r>
      <w:r w:rsidR="008C29F8" w:rsidRPr="00F87C1B">
        <w:rPr>
          <w:lang w:val="en-GB"/>
        </w:rPr>
        <w:t xml:space="preserve"> </w:t>
      </w:r>
      <w:r w:rsidR="00136D76" w:rsidRPr="00F87C1B">
        <w:rPr>
          <w:lang w:val="en-GB"/>
        </w:rPr>
        <w:t>concerns</w:t>
      </w:r>
      <w:r w:rsidR="00D42CDE" w:rsidRPr="00F87C1B">
        <w:rPr>
          <w:lang w:val="en-GB"/>
        </w:rPr>
        <w:t xml:space="preserve"> and xenophobic fears, on the other hand</w:t>
      </w:r>
      <w:r w:rsidR="00136D76" w:rsidRPr="00F87C1B">
        <w:rPr>
          <w:lang w:val="en-GB"/>
        </w:rPr>
        <w:t>.</w:t>
      </w:r>
      <w:r w:rsidR="007A486E">
        <w:rPr>
          <w:rStyle w:val="FootnoteReference"/>
          <w:lang w:val="en-GB"/>
        </w:rPr>
        <w:footnoteReference w:id="3"/>
      </w:r>
      <w:r w:rsidR="00136D76" w:rsidRPr="00F87C1B">
        <w:rPr>
          <w:lang w:val="en-GB"/>
        </w:rPr>
        <w:t xml:space="preserve"> For this reason, the challenges discussed in this</w:t>
      </w:r>
      <w:r w:rsidR="00E556F6" w:rsidRPr="00F87C1B">
        <w:rPr>
          <w:lang w:val="en-GB"/>
        </w:rPr>
        <w:t xml:space="preserve"> </w:t>
      </w:r>
      <w:r w:rsidR="00971235" w:rsidRPr="00F87C1B">
        <w:rPr>
          <w:lang w:val="en-GB"/>
        </w:rPr>
        <w:t>paper</w:t>
      </w:r>
      <w:r w:rsidR="00E556F6" w:rsidRPr="00F87C1B">
        <w:rPr>
          <w:lang w:val="en-GB"/>
        </w:rPr>
        <w:t xml:space="preserve"> </w:t>
      </w:r>
      <w:r w:rsidR="00B01E99" w:rsidRPr="00F87C1B">
        <w:rPr>
          <w:lang w:val="en-GB"/>
        </w:rPr>
        <w:t>are</w:t>
      </w:r>
      <w:r w:rsidR="00136D76" w:rsidRPr="00F87C1B">
        <w:rPr>
          <w:lang w:val="en-GB"/>
        </w:rPr>
        <w:t xml:space="preserve"> the result of the interaction among </w:t>
      </w:r>
      <w:r w:rsidR="00BE7EDC" w:rsidRPr="00F87C1B">
        <w:rPr>
          <w:lang w:val="en-GB"/>
        </w:rPr>
        <w:t xml:space="preserve">four factors: first, </w:t>
      </w:r>
      <w:r w:rsidR="00136D76" w:rsidRPr="00F87C1B">
        <w:rPr>
          <w:lang w:val="en-GB"/>
        </w:rPr>
        <w:t>EU-level</w:t>
      </w:r>
      <w:r w:rsidR="00CA19ED" w:rsidRPr="00F87C1B">
        <w:rPr>
          <w:lang w:val="en-GB"/>
        </w:rPr>
        <w:t xml:space="preserve"> legislative harmoni</w:t>
      </w:r>
      <w:r w:rsidR="008D69E7">
        <w:rPr>
          <w:lang w:val="en-GB"/>
        </w:rPr>
        <w:t>s</w:t>
      </w:r>
      <w:r w:rsidR="00CA19ED" w:rsidRPr="00F87C1B">
        <w:rPr>
          <w:lang w:val="en-GB"/>
        </w:rPr>
        <w:t>ation;</w:t>
      </w:r>
      <w:r w:rsidR="00BE7EDC" w:rsidRPr="00F87C1B">
        <w:rPr>
          <w:lang w:val="en-GB"/>
        </w:rPr>
        <w:t xml:space="preserve"> second,</w:t>
      </w:r>
      <w:r w:rsidR="00136D76" w:rsidRPr="00F87C1B">
        <w:rPr>
          <w:lang w:val="en-GB"/>
        </w:rPr>
        <w:t xml:space="preserve"> Croatian national-level</w:t>
      </w:r>
      <w:r w:rsidR="00B01E99" w:rsidRPr="00F87C1B">
        <w:rPr>
          <w:lang w:val="en-GB"/>
        </w:rPr>
        <w:t xml:space="preserve"> legal</w:t>
      </w:r>
      <w:r w:rsidR="001F2AA6" w:rsidRPr="00F87C1B">
        <w:rPr>
          <w:lang w:val="en-GB"/>
        </w:rPr>
        <w:t xml:space="preserve"> and </w:t>
      </w:r>
      <w:r w:rsidR="00B01E99" w:rsidRPr="00F87C1B">
        <w:rPr>
          <w:lang w:val="en-GB"/>
        </w:rPr>
        <w:t>practical issues</w:t>
      </w:r>
      <w:r w:rsidR="00CA19ED" w:rsidRPr="00F87C1B">
        <w:rPr>
          <w:lang w:val="en-GB"/>
        </w:rPr>
        <w:t>;</w:t>
      </w:r>
      <w:r w:rsidR="00B01E99" w:rsidRPr="00F87C1B">
        <w:rPr>
          <w:lang w:val="en-GB"/>
        </w:rPr>
        <w:t xml:space="preserve"> </w:t>
      </w:r>
      <w:r w:rsidR="00BE7EDC" w:rsidRPr="00F87C1B">
        <w:rPr>
          <w:lang w:val="en-GB"/>
        </w:rPr>
        <w:t xml:space="preserve">third, </w:t>
      </w:r>
      <w:r w:rsidR="00B01E99" w:rsidRPr="00F87C1B">
        <w:rPr>
          <w:lang w:val="en-GB"/>
        </w:rPr>
        <w:t>the</w:t>
      </w:r>
      <w:r w:rsidR="00CA19ED" w:rsidRPr="00F87C1B">
        <w:rPr>
          <w:lang w:val="en-GB"/>
        </w:rPr>
        <w:t xml:space="preserve"> refugee</w:t>
      </w:r>
      <w:r w:rsidR="001F2AA6" w:rsidRPr="00F87C1B">
        <w:rPr>
          <w:lang w:val="en-GB"/>
        </w:rPr>
        <w:t xml:space="preserve"> situation in the EU</w:t>
      </w:r>
      <w:r w:rsidR="00CA19ED" w:rsidRPr="00F87C1B">
        <w:rPr>
          <w:lang w:val="en-GB"/>
        </w:rPr>
        <w:t xml:space="preserve"> </w:t>
      </w:r>
      <w:r w:rsidR="001F2AA6" w:rsidRPr="00F87C1B">
        <w:rPr>
          <w:lang w:val="en-GB"/>
        </w:rPr>
        <w:t xml:space="preserve">and </w:t>
      </w:r>
      <w:r w:rsidR="00574919" w:rsidRPr="00F87C1B">
        <w:rPr>
          <w:lang w:val="en-GB"/>
        </w:rPr>
        <w:t>on the Western Balkans route</w:t>
      </w:r>
      <w:r w:rsidR="00B84406">
        <w:rPr>
          <w:lang w:val="en-GB"/>
        </w:rPr>
        <w:t>;</w:t>
      </w:r>
      <w:r w:rsidR="00BE7EDC" w:rsidRPr="00F87C1B">
        <w:rPr>
          <w:lang w:val="en-GB"/>
        </w:rPr>
        <w:t xml:space="preserve"> and</w:t>
      </w:r>
      <w:r w:rsidR="00CB306E" w:rsidRPr="00F87C1B">
        <w:rPr>
          <w:lang w:val="en-GB"/>
        </w:rPr>
        <w:t xml:space="preserve"> </w:t>
      </w:r>
      <w:r w:rsidR="00BE7EDC" w:rsidRPr="00F87C1B">
        <w:rPr>
          <w:lang w:val="en-GB"/>
        </w:rPr>
        <w:t xml:space="preserve">fourth, </w:t>
      </w:r>
      <w:r w:rsidR="00E93BCD" w:rsidRPr="00F87C1B">
        <w:rPr>
          <w:lang w:val="en-GB"/>
        </w:rPr>
        <w:t xml:space="preserve">the legal implications of the Western Balkans route, as interpreted by the Court of Justice of the European Union in </w:t>
      </w:r>
      <w:r w:rsidR="00E93BCD" w:rsidRPr="00F87C1B">
        <w:rPr>
          <w:i/>
          <w:lang w:val="en-GB"/>
        </w:rPr>
        <w:t xml:space="preserve">A.S. </w:t>
      </w:r>
      <w:r w:rsidR="00E93BCD" w:rsidRPr="00255886">
        <w:rPr>
          <w:lang w:val="en-GB"/>
        </w:rPr>
        <w:t>and</w:t>
      </w:r>
      <w:r w:rsidR="00E93BCD" w:rsidRPr="00F87C1B">
        <w:rPr>
          <w:i/>
          <w:lang w:val="en-GB"/>
        </w:rPr>
        <w:t xml:space="preserve"> </w:t>
      </w:r>
      <w:proofErr w:type="spellStart"/>
      <w:r w:rsidR="00E93BCD" w:rsidRPr="00F87C1B">
        <w:rPr>
          <w:i/>
          <w:lang w:val="en-GB"/>
        </w:rPr>
        <w:t>Jafari</w:t>
      </w:r>
      <w:proofErr w:type="spellEnd"/>
      <w:r w:rsidR="00E93BCD" w:rsidRPr="00F87C1B">
        <w:rPr>
          <w:lang w:val="en-GB"/>
        </w:rPr>
        <w:t>.</w:t>
      </w:r>
      <w:r w:rsidR="007A486E">
        <w:rPr>
          <w:rStyle w:val="FootnoteReference"/>
          <w:lang w:val="en-GB"/>
        </w:rPr>
        <w:footnoteReference w:id="4"/>
      </w:r>
      <w:r w:rsidR="00E93BCD" w:rsidRPr="00F87C1B">
        <w:rPr>
          <w:lang w:val="en-GB"/>
        </w:rPr>
        <w:t xml:space="preserve"> </w:t>
      </w:r>
    </w:p>
    <w:p w14:paraId="55B95E5E" w14:textId="77777777" w:rsidR="00CB306E" w:rsidRPr="00F87C1B" w:rsidRDefault="00CB306E" w:rsidP="007F0200">
      <w:pPr>
        <w:jc w:val="both"/>
        <w:rPr>
          <w:lang w:val="en-GB"/>
        </w:rPr>
      </w:pPr>
    </w:p>
    <w:p w14:paraId="4366280C" w14:textId="6BEDEC12" w:rsidR="00A20D85" w:rsidRPr="00F87C1B" w:rsidRDefault="00B81487" w:rsidP="00A20D85">
      <w:pPr>
        <w:jc w:val="both"/>
        <w:rPr>
          <w:lang w:val="en-GB"/>
        </w:rPr>
      </w:pPr>
      <w:r w:rsidRPr="00F87C1B">
        <w:rPr>
          <w:lang w:val="en-GB"/>
        </w:rPr>
        <w:t xml:space="preserve">The </w:t>
      </w:r>
      <w:r w:rsidR="00AD42CF">
        <w:rPr>
          <w:lang w:val="en-GB"/>
        </w:rPr>
        <w:t>chapter</w:t>
      </w:r>
      <w:r w:rsidR="00AD42CF" w:rsidRPr="00F87C1B">
        <w:rPr>
          <w:lang w:val="en-GB"/>
        </w:rPr>
        <w:t xml:space="preserve"> </w:t>
      </w:r>
      <w:r w:rsidR="00B84406">
        <w:rPr>
          <w:lang w:val="en-GB"/>
        </w:rPr>
        <w:t xml:space="preserve">is </w:t>
      </w:r>
      <w:r w:rsidRPr="00F87C1B">
        <w:rPr>
          <w:lang w:val="en-GB"/>
        </w:rPr>
        <w:t>structu</w:t>
      </w:r>
      <w:r w:rsidR="00971235" w:rsidRPr="00F87C1B">
        <w:rPr>
          <w:lang w:val="en-GB"/>
        </w:rPr>
        <w:t xml:space="preserve">red in </w:t>
      </w:r>
      <w:r w:rsidR="00A3433D" w:rsidRPr="00F87C1B">
        <w:rPr>
          <w:lang w:val="en-GB"/>
        </w:rPr>
        <w:t>six</w:t>
      </w:r>
      <w:r w:rsidR="00B84406">
        <w:rPr>
          <w:lang w:val="en-GB"/>
        </w:rPr>
        <w:t xml:space="preserve"> sections</w:t>
      </w:r>
      <w:r w:rsidR="00971235" w:rsidRPr="00F87C1B">
        <w:rPr>
          <w:lang w:val="en-GB"/>
        </w:rPr>
        <w:t>. Following the introduct</w:t>
      </w:r>
      <w:r w:rsidR="00B84406">
        <w:rPr>
          <w:lang w:val="en-GB"/>
        </w:rPr>
        <w:t>ion</w:t>
      </w:r>
      <w:r w:rsidR="00971235" w:rsidRPr="00F87C1B">
        <w:rPr>
          <w:lang w:val="en-GB"/>
        </w:rPr>
        <w:t xml:space="preserve">, the second </w:t>
      </w:r>
      <w:r w:rsidR="00B84406">
        <w:rPr>
          <w:lang w:val="en-GB"/>
        </w:rPr>
        <w:t xml:space="preserve">section </w:t>
      </w:r>
      <w:r w:rsidR="00CB306E" w:rsidRPr="00F87C1B">
        <w:rPr>
          <w:lang w:val="en-GB"/>
        </w:rPr>
        <w:t>explain</w:t>
      </w:r>
      <w:r w:rsidR="00B84406">
        <w:rPr>
          <w:lang w:val="en-GB"/>
        </w:rPr>
        <w:t>s</w:t>
      </w:r>
      <w:r w:rsidR="00CB306E" w:rsidRPr="00F87C1B">
        <w:rPr>
          <w:lang w:val="en-GB"/>
        </w:rPr>
        <w:t xml:space="preserve"> the situation on </w:t>
      </w:r>
      <w:r w:rsidR="006D0966" w:rsidRPr="00F87C1B">
        <w:rPr>
          <w:lang w:val="en-GB"/>
        </w:rPr>
        <w:t>the Western Balkan route in 2015</w:t>
      </w:r>
      <w:r w:rsidR="00CB306E" w:rsidRPr="00F87C1B">
        <w:rPr>
          <w:lang w:val="en-GB"/>
        </w:rPr>
        <w:t xml:space="preserve"> and 2016 by off</w:t>
      </w:r>
      <w:r w:rsidR="00971235" w:rsidRPr="00F87C1B">
        <w:rPr>
          <w:lang w:val="en-GB"/>
        </w:rPr>
        <w:t>ering the timeline of events ac</w:t>
      </w:r>
      <w:r w:rsidR="00CB306E" w:rsidRPr="00F87C1B">
        <w:rPr>
          <w:lang w:val="en-GB"/>
        </w:rPr>
        <w:t xml:space="preserve">ross the route. </w:t>
      </w:r>
      <w:r w:rsidR="006D0966" w:rsidRPr="00F87C1B">
        <w:rPr>
          <w:lang w:val="en-GB"/>
        </w:rPr>
        <w:t xml:space="preserve">The </w:t>
      </w:r>
      <w:proofErr w:type="gramStart"/>
      <w:r w:rsidR="006D0966" w:rsidRPr="00F87C1B">
        <w:rPr>
          <w:lang w:val="en-GB"/>
        </w:rPr>
        <w:t xml:space="preserve">chronological </w:t>
      </w:r>
      <w:r w:rsidR="00857E2F" w:rsidRPr="00F87C1B">
        <w:rPr>
          <w:lang w:val="en-GB"/>
        </w:rPr>
        <w:t xml:space="preserve">overview </w:t>
      </w:r>
      <w:r w:rsidR="00B84406">
        <w:rPr>
          <w:lang w:val="en-GB"/>
        </w:rPr>
        <w:t>is</w:t>
      </w:r>
      <w:r w:rsidR="00857E2F" w:rsidRPr="00F87C1B">
        <w:rPr>
          <w:lang w:val="en-GB"/>
        </w:rPr>
        <w:t xml:space="preserve"> followed</w:t>
      </w:r>
      <w:r w:rsidR="00971235" w:rsidRPr="00F87C1B">
        <w:rPr>
          <w:lang w:val="en-GB"/>
        </w:rPr>
        <w:t xml:space="preserve"> by the third </w:t>
      </w:r>
      <w:r w:rsidR="00B84406">
        <w:rPr>
          <w:lang w:val="en-GB"/>
        </w:rPr>
        <w:t xml:space="preserve">section </w:t>
      </w:r>
      <w:r w:rsidR="00857E2F" w:rsidRPr="00F87C1B">
        <w:rPr>
          <w:lang w:val="en-GB"/>
        </w:rPr>
        <w:t>offering valuable statistical data regarding asylum in Croatia</w:t>
      </w:r>
      <w:proofErr w:type="gramEnd"/>
      <w:r w:rsidR="00857E2F" w:rsidRPr="00F87C1B">
        <w:rPr>
          <w:lang w:val="en-GB"/>
        </w:rPr>
        <w:t xml:space="preserve">. These two </w:t>
      </w:r>
      <w:r w:rsidR="00B84406">
        <w:rPr>
          <w:lang w:val="en-GB"/>
        </w:rPr>
        <w:t xml:space="preserve">sections </w:t>
      </w:r>
      <w:r w:rsidR="00857E2F" w:rsidRPr="00F87C1B">
        <w:rPr>
          <w:lang w:val="en-GB"/>
        </w:rPr>
        <w:t>will enable readers to fully comprehen</w:t>
      </w:r>
      <w:r w:rsidR="00971235" w:rsidRPr="00F87C1B">
        <w:rPr>
          <w:lang w:val="en-GB"/>
        </w:rPr>
        <w:t xml:space="preserve">d the fourth </w:t>
      </w:r>
      <w:r w:rsidR="004F4A44">
        <w:rPr>
          <w:lang w:val="en-GB"/>
        </w:rPr>
        <w:t>section</w:t>
      </w:r>
      <w:r w:rsidR="00971235" w:rsidRPr="00F87C1B">
        <w:rPr>
          <w:lang w:val="en-GB"/>
        </w:rPr>
        <w:t xml:space="preserve"> discussing the discrepancy between the functioning of the Western Balkans route and the Dublin Regulation, followed by </w:t>
      </w:r>
      <w:r w:rsidR="00B84406">
        <w:rPr>
          <w:lang w:val="en-GB"/>
        </w:rPr>
        <w:t xml:space="preserve">an </w:t>
      </w:r>
      <w:r w:rsidR="00971235" w:rsidRPr="00F87C1B">
        <w:rPr>
          <w:lang w:val="en-GB"/>
        </w:rPr>
        <w:t xml:space="preserve">analysis of the CJEU’s judgments in </w:t>
      </w:r>
      <w:r w:rsidR="00971235" w:rsidRPr="00F87C1B">
        <w:rPr>
          <w:i/>
          <w:lang w:val="en-GB"/>
        </w:rPr>
        <w:t xml:space="preserve">A.S. </w:t>
      </w:r>
      <w:r w:rsidR="00971235" w:rsidRPr="00255886">
        <w:rPr>
          <w:lang w:val="en-GB"/>
        </w:rPr>
        <w:t>and</w:t>
      </w:r>
      <w:r w:rsidR="00971235" w:rsidRPr="00F87C1B">
        <w:rPr>
          <w:i/>
          <w:lang w:val="en-GB"/>
        </w:rPr>
        <w:t xml:space="preserve"> </w:t>
      </w:r>
      <w:proofErr w:type="spellStart"/>
      <w:r w:rsidR="00971235" w:rsidRPr="00F87C1B">
        <w:rPr>
          <w:i/>
          <w:lang w:val="en-GB"/>
        </w:rPr>
        <w:t>Jafari</w:t>
      </w:r>
      <w:proofErr w:type="spellEnd"/>
      <w:r w:rsidR="00971235" w:rsidRPr="00F87C1B">
        <w:rPr>
          <w:lang w:val="en-GB"/>
        </w:rPr>
        <w:t xml:space="preserve"> and in </w:t>
      </w:r>
      <w:proofErr w:type="spellStart"/>
      <w:r w:rsidR="00971235" w:rsidRPr="00F87C1B">
        <w:rPr>
          <w:i/>
          <w:lang w:val="en-GB"/>
        </w:rPr>
        <w:t>Mengesteab</w:t>
      </w:r>
      <w:proofErr w:type="spellEnd"/>
      <w:r w:rsidR="00971235" w:rsidRPr="00F87C1B">
        <w:rPr>
          <w:lang w:val="en-GB"/>
        </w:rPr>
        <w:t xml:space="preserve"> and concluding with </w:t>
      </w:r>
      <w:r w:rsidR="00B84406">
        <w:rPr>
          <w:lang w:val="en-GB"/>
        </w:rPr>
        <w:t xml:space="preserve">a </w:t>
      </w:r>
      <w:r w:rsidR="00971235" w:rsidRPr="00F87C1B">
        <w:rPr>
          <w:lang w:val="en-GB"/>
        </w:rPr>
        <w:t>discussion o</w:t>
      </w:r>
      <w:r w:rsidR="00B84406">
        <w:rPr>
          <w:lang w:val="en-GB"/>
        </w:rPr>
        <w:t>n</w:t>
      </w:r>
      <w:r w:rsidR="00971235" w:rsidRPr="00F87C1B">
        <w:rPr>
          <w:lang w:val="en-GB"/>
        </w:rPr>
        <w:t xml:space="preserve"> the consequences of these two judgements </w:t>
      </w:r>
      <w:r w:rsidR="00BE7EDC" w:rsidRPr="00F87C1B">
        <w:rPr>
          <w:lang w:val="en-GB"/>
        </w:rPr>
        <w:t>on Croatia and</w:t>
      </w:r>
      <w:r w:rsidR="00A3433D" w:rsidRPr="00F87C1B">
        <w:rPr>
          <w:lang w:val="en-GB"/>
        </w:rPr>
        <w:t xml:space="preserve"> on</w:t>
      </w:r>
      <w:r w:rsidR="00BE7EDC" w:rsidRPr="00F87C1B">
        <w:rPr>
          <w:lang w:val="en-GB"/>
        </w:rPr>
        <w:t xml:space="preserve"> </w:t>
      </w:r>
      <w:r w:rsidR="00B84406">
        <w:rPr>
          <w:lang w:val="en-GB"/>
        </w:rPr>
        <w:t xml:space="preserve">the </w:t>
      </w:r>
      <w:r w:rsidR="00BE7EDC" w:rsidRPr="00F87C1B">
        <w:rPr>
          <w:lang w:val="en-GB"/>
        </w:rPr>
        <w:t xml:space="preserve">further </w:t>
      </w:r>
      <w:r w:rsidR="00BE7EDC" w:rsidRPr="00F87C1B">
        <w:rPr>
          <w:lang w:val="en-GB"/>
        </w:rPr>
        <w:lastRenderedPageBreak/>
        <w:t xml:space="preserve">development of EU law. The fifth </w:t>
      </w:r>
      <w:r w:rsidR="00B84406">
        <w:rPr>
          <w:lang w:val="en-GB"/>
        </w:rPr>
        <w:t xml:space="preserve">section </w:t>
      </w:r>
      <w:r w:rsidR="00BE7EDC" w:rsidRPr="00F87C1B">
        <w:rPr>
          <w:lang w:val="en-GB"/>
        </w:rPr>
        <w:t>concentrate</w:t>
      </w:r>
      <w:r w:rsidR="00B84406">
        <w:rPr>
          <w:lang w:val="en-GB"/>
        </w:rPr>
        <w:t>s</w:t>
      </w:r>
      <w:r w:rsidR="00BE7EDC" w:rsidRPr="00F87C1B">
        <w:rPr>
          <w:lang w:val="en-GB"/>
        </w:rPr>
        <w:t xml:space="preserve"> on the most pressing recent and future legal and practical challenges related to asylum in Croatia. The concluding remarks summari</w:t>
      </w:r>
      <w:r w:rsidR="008D69E7">
        <w:rPr>
          <w:lang w:val="en-GB"/>
        </w:rPr>
        <w:t>s</w:t>
      </w:r>
      <w:r w:rsidR="00BE7EDC" w:rsidRPr="00F87C1B">
        <w:rPr>
          <w:lang w:val="en-GB"/>
        </w:rPr>
        <w:t>e</w:t>
      </w:r>
      <w:r w:rsidR="00B84406">
        <w:rPr>
          <w:lang w:val="en-GB"/>
        </w:rPr>
        <w:t>s</w:t>
      </w:r>
      <w:r w:rsidR="00BE7EDC" w:rsidRPr="00F87C1B">
        <w:rPr>
          <w:lang w:val="en-GB"/>
        </w:rPr>
        <w:t xml:space="preserve"> the findings and suggest that </w:t>
      </w:r>
      <w:r w:rsidR="00626FB2" w:rsidRPr="00F87C1B">
        <w:rPr>
          <w:lang w:val="en-GB"/>
        </w:rPr>
        <w:t>– despite the fact that Croatia has been on the periphery of EU refugee-related events, partly due to its political strength, size and geographic position – there has been a strong correlation and interaction between the developments in Croatia</w:t>
      </w:r>
      <w:r w:rsidR="00696035" w:rsidRPr="00F87C1B">
        <w:rPr>
          <w:lang w:val="en-GB"/>
        </w:rPr>
        <w:t>, other countries on the Western Balkan route</w:t>
      </w:r>
      <w:r w:rsidR="00626FB2" w:rsidRPr="00F87C1B">
        <w:rPr>
          <w:lang w:val="en-GB"/>
        </w:rPr>
        <w:t xml:space="preserve"> and </w:t>
      </w:r>
      <w:r w:rsidR="00696035" w:rsidRPr="00F87C1B">
        <w:rPr>
          <w:lang w:val="en-GB"/>
        </w:rPr>
        <w:t>at the</w:t>
      </w:r>
      <w:r w:rsidR="00245989" w:rsidRPr="00F87C1B">
        <w:rPr>
          <w:lang w:val="en-GB"/>
        </w:rPr>
        <w:t xml:space="preserve"> EU level</w:t>
      </w:r>
      <w:r w:rsidR="00BE7EDC" w:rsidRPr="00F87C1B">
        <w:rPr>
          <w:lang w:val="en-GB"/>
        </w:rPr>
        <w:t xml:space="preserve">. </w:t>
      </w:r>
      <w:r w:rsidR="00626FB2" w:rsidRPr="00F87C1B">
        <w:rPr>
          <w:lang w:val="en-GB"/>
        </w:rPr>
        <w:t xml:space="preserve"> </w:t>
      </w:r>
    </w:p>
    <w:p w14:paraId="411B1D6A" w14:textId="77777777" w:rsidR="00A20D85" w:rsidRPr="00F87C1B" w:rsidRDefault="00A20D85" w:rsidP="00C502B0">
      <w:pPr>
        <w:rPr>
          <w:lang w:val="en-GB"/>
        </w:rPr>
      </w:pPr>
    </w:p>
    <w:p w14:paraId="4844492B" w14:textId="77777777" w:rsidR="00CC1B6B" w:rsidRPr="00F87C1B" w:rsidRDefault="00CC1B6B" w:rsidP="00C502B0">
      <w:pPr>
        <w:rPr>
          <w:lang w:val="en-GB"/>
        </w:rPr>
      </w:pPr>
    </w:p>
    <w:p w14:paraId="7EB7D268" w14:textId="77777777" w:rsidR="00CC1B6B" w:rsidRPr="00F87C1B" w:rsidRDefault="004437B0" w:rsidP="001F49DD">
      <w:pPr>
        <w:outlineLvl w:val="0"/>
        <w:rPr>
          <w:b/>
          <w:lang w:val="en-GB"/>
        </w:rPr>
      </w:pPr>
      <w:r w:rsidRPr="00F87C1B">
        <w:rPr>
          <w:b/>
          <w:lang w:val="en-GB"/>
        </w:rPr>
        <w:t>2. Croatia and the Western Balkan Route - Timeline</w:t>
      </w:r>
    </w:p>
    <w:p w14:paraId="6D0FCD2D" w14:textId="77777777" w:rsidR="00CC1B6B" w:rsidRPr="00F87C1B" w:rsidRDefault="00CC1B6B" w:rsidP="00C502B0">
      <w:pPr>
        <w:rPr>
          <w:lang w:val="en-GB"/>
        </w:rPr>
      </w:pPr>
    </w:p>
    <w:p w14:paraId="123F18AF" w14:textId="77777777" w:rsidR="0033669F" w:rsidRPr="00F87C1B" w:rsidRDefault="004437B0" w:rsidP="007010EE">
      <w:pPr>
        <w:jc w:val="both"/>
        <w:rPr>
          <w:lang w:val="en-GB"/>
        </w:rPr>
      </w:pPr>
      <w:r w:rsidRPr="00F87C1B">
        <w:rPr>
          <w:lang w:val="en-GB"/>
        </w:rPr>
        <w:t xml:space="preserve">Up until September 2015 Croatia was neither an important destination nor a </w:t>
      </w:r>
      <w:r w:rsidR="00C26081" w:rsidRPr="00F87C1B">
        <w:rPr>
          <w:lang w:val="en-GB"/>
        </w:rPr>
        <w:t>major transit country. This changed overnight on 15 September 2015, when Hungary cl</w:t>
      </w:r>
      <w:r w:rsidR="00F21B17" w:rsidRPr="00F87C1B">
        <w:rPr>
          <w:lang w:val="en-GB"/>
        </w:rPr>
        <w:t>osed its border with Serbia, alongside its construction of a border fence along its 175-ki</w:t>
      </w:r>
      <w:r w:rsidR="006A17A3" w:rsidRPr="00F87C1B">
        <w:rPr>
          <w:lang w:val="en-GB"/>
        </w:rPr>
        <w:t>lometr</w:t>
      </w:r>
      <w:r w:rsidR="003C51DC">
        <w:rPr>
          <w:lang w:val="en-GB"/>
        </w:rPr>
        <w:t>e</w:t>
      </w:r>
      <w:r w:rsidR="006A17A3" w:rsidRPr="00F87C1B">
        <w:rPr>
          <w:lang w:val="en-GB"/>
        </w:rPr>
        <w:t xml:space="preserve"> border with Serbia. The Serbian government, consequently, decided to redirect the refugee flow to Croatia. Croatia, on the other hand, directed the refugee flow further to Slovenia, as Hungary clos</w:t>
      </w:r>
      <w:r w:rsidR="0033669F" w:rsidRPr="00F87C1B">
        <w:rPr>
          <w:lang w:val="en-GB"/>
        </w:rPr>
        <w:t>ed its border with Croatia on 16</w:t>
      </w:r>
      <w:r w:rsidR="006A17A3" w:rsidRPr="00F87C1B">
        <w:rPr>
          <w:lang w:val="en-GB"/>
        </w:rPr>
        <w:t xml:space="preserve"> October 2015 and constru</w:t>
      </w:r>
      <w:r w:rsidR="0033669F" w:rsidRPr="00F87C1B">
        <w:rPr>
          <w:lang w:val="en-GB"/>
        </w:rPr>
        <w:t>c</w:t>
      </w:r>
      <w:r w:rsidR="006A17A3" w:rsidRPr="00F87C1B">
        <w:rPr>
          <w:lang w:val="en-GB"/>
        </w:rPr>
        <w:t>ted a border fence along the 348-kilometr</w:t>
      </w:r>
      <w:r w:rsidR="003C51DC">
        <w:rPr>
          <w:lang w:val="en-GB"/>
        </w:rPr>
        <w:t>e</w:t>
      </w:r>
      <w:r w:rsidR="006A17A3" w:rsidRPr="00F87C1B">
        <w:rPr>
          <w:lang w:val="en-GB"/>
        </w:rPr>
        <w:t xml:space="preserve"> Hungarian-Croatian border. </w:t>
      </w:r>
      <w:r w:rsidR="0022789A" w:rsidRPr="00F87C1B">
        <w:rPr>
          <w:lang w:val="en-GB"/>
        </w:rPr>
        <w:t>Almost at the same time, another slowing down</w:t>
      </w:r>
      <w:r w:rsidR="0033669F" w:rsidRPr="00F87C1B">
        <w:rPr>
          <w:lang w:val="en-GB"/>
        </w:rPr>
        <w:t xml:space="preserve"> of the Western Balkans route </w:t>
      </w:r>
      <w:r w:rsidR="0022789A" w:rsidRPr="00F87C1B">
        <w:rPr>
          <w:lang w:val="en-GB"/>
        </w:rPr>
        <w:t xml:space="preserve">took place </w:t>
      </w:r>
      <w:r w:rsidR="003C51DC">
        <w:rPr>
          <w:lang w:val="en-GB"/>
        </w:rPr>
        <w:t>on</w:t>
      </w:r>
      <w:r w:rsidR="0022789A" w:rsidRPr="00F87C1B">
        <w:rPr>
          <w:lang w:val="en-GB"/>
        </w:rPr>
        <w:t xml:space="preserve"> the other side of the Croatian territory</w:t>
      </w:r>
      <w:r w:rsidR="00E427C1" w:rsidRPr="00F87C1B">
        <w:rPr>
          <w:lang w:val="en-GB"/>
        </w:rPr>
        <w:t>,</w:t>
      </w:r>
      <w:r w:rsidR="0022789A" w:rsidRPr="00F87C1B">
        <w:rPr>
          <w:lang w:val="en-GB"/>
        </w:rPr>
        <w:t xml:space="preserve"> along its border with Serbia. </w:t>
      </w:r>
      <w:r w:rsidR="00B77479" w:rsidRPr="00F87C1B">
        <w:rPr>
          <w:lang w:val="en-GB"/>
        </w:rPr>
        <w:t>Here, on 20 September 2015</w:t>
      </w:r>
      <w:r w:rsidR="00245989" w:rsidRPr="00F87C1B">
        <w:rPr>
          <w:lang w:val="en-GB"/>
        </w:rPr>
        <w:t>,</w:t>
      </w:r>
      <w:r w:rsidR="00B77479" w:rsidRPr="00F87C1B">
        <w:rPr>
          <w:lang w:val="en-GB"/>
        </w:rPr>
        <w:t xml:space="preserve"> Croatia closed its border crossings with Serbia</w:t>
      </w:r>
      <w:r w:rsidR="00923BD1" w:rsidRPr="00F87C1B">
        <w:rPr>
          <w:lang w:val="en-GB"/>
        </w:rPr>
        <w:t>,</w:t>
      </w:r>
      <w:r w:rsidR="00B77479" w:rsidRPr="00F87C1B">
        <w:rPr>
          <w:lang w:val="en-GB"/>
        </w:rPr>
        <w:t xml:space="preserve"> consequently </w:t>
      </w:r>
      <w:r w:rsidR="00E427C1" w:rsidRPr="00F87C1B">
        <w:rPr>
          <w:lang w:val="en-GB"/>
        </w:rPr>
        <w:t>halting</w:t>
      </w:r>
      <w:r w:rsidR="00B77479" w:rsidRPr="00F87C1B">
        <w:rPr>
          <w:lang w:val="en-GB"/>
        </w:rPr>
        <w:t xml:space="preserve"> </w:t>
      </w:r>
      <w:r w:rsidR="00E427C1" w:rsidRPr="00F87C1B">
        <w:rPr>
          <w:lang w:val="en-GB"/>
        </w:rPr>
        <w:t>all cargo</w:t>
      </w:r>
      <w:r w:rsidR="00B77479" w:rsidRPr="00F87C1B">
        <w:rPr>
          <w:lang w:val="en-GB"/>
        </w:rPr>
        <w:t xml:space="preserve"> traffic from Serbia. </w:t>
      </w:r>
      <w:r w:rsidR="00973F52" w:rsidRPr="00F87C1B">
        <w:rPr>
          <w:lang w:val="en-GB"/>
        </w:rPr>
        <w:t>Serbia reciprocated and Croatia respon</w:t>
      </w:r>
      <w:r w:rsidR="003C51DC">
        <w:rPr>
          <w:lang w:val="en-GB"/>
        </w:rPr>
        <w:t>d</w:t>
      </w:r>
      <w:r w:rsidR="00973F52" w:rsidRPr="00F87C1B">
        <w:rPr>
          <w:lang w:val="en-GB"/>
        </w:rPr>
        <w:t xml:space="preserve">ed by closing its borders to all passenger traffic. </w:t>
      </w:r>
      <w:r w:rsidR="00B77479" w:rsidRPr="00F87C1B">
        <w:rPr>
          <w:lang w:val="en-GB"/>
        </w:rPr>
        <w:t xml:space="preserve">The situation </w:t>
      </w:r>
      <w:r w:rsidR="00937E5F">
        <w:rPr>
          <w:lang w:val="en-GB"/>
        </w:rPr>
        <w:t xml:space="preserve">became </w:t>
      </w:r>
      <w:r w:rsidR="00973F52" w:rsidRPr="00F87C1B">
        <w:rPr>
          <w:lang w:val="en-GB"/>
        </w:rPr>
        <w:t>normali</w:t>
      </w:r>
      <w:r w:rsidR="008D69E7">
        <w:rPr>
          <w:lang w:val="en-GB"/>
        </w:rPr>
        <w:t>s</w:t>
      </w:r>
      <w:r w:rsidR="00973F52" w:rsidRPr="00F87C1B">
        <w:rPr>
          <w:lang w:val="en-GB"/>
        </w:rPr>
        <w:t xml:space="preserve">ed </w:t>
      </w:r>
      <w:r w:rsidR="003C51DC">
        <w:rPr>
          <w:lang w:val="en-GB"/>
        </w:rPr>
        <w:t>over</w:t>
      </w:r>
      <w:r w:rsidR="00973F52" w:rsidRPr="00F87C1B">
        <w:rPr>
          <w:lang w:val="en-GB"/>
        </w:rPr>
        <w:t xml:space="preserve"> several days. However, </w:t>
      </w:r>
      <w:r w:rsidR="00923BD1" w:rsidRPr="00F87C1B">
        <w:rPr>
          <w:lang w:val="en-GB"/>
        </w:rPr>
        <w:t>it reflected the fragility of good neighbourly relations established between the two countries after the war in former Yugoslavia and challenged Croatian obligations towards Serbia based on the Serbian Stabili</w:t>
      </w:r>
      <w:r w:rsidR="008D69E7">
        <w:rPr>
          <w:lang w:val="en-GB"/>
        </w:rPr>
        <w:t>s</w:t>
      </w:r>
      <w:r w:rsidR="00923BD1" w:rsidRPr="00F87C1B">
        <w:rPr>
          <w:lang w:val="en-GB"/>
        </w:rPr>
        <w:t xml:space="preserve">ation and Association Agreements. </w:t>
      </w:r>
      <w:r w:rsidR="00050D74">
        <w:rPr>
          <w:lang w:val="en-GB"/>
        </w:rPr>
        <w:t>R</w:t>
      </w:r>
      <w:r w:rsidR="004A5EC9" w:rsidRPr="00F87C1B">
        <w:rPr>
          <w:lang w:val="en-GB"/>
        </w:rPr>
        <w:t xml:space="preserve">elations between Croatia and Serbia soon improved and on 3 November 2015 the two countries reached an agreement </w:t>
      </w:r>
      <w:r w:rsidR="00532EED" w:rsidRPr="00F87C1B">
        <w:rPr>
          <w:lang w:val="en-GB"/>
        </w:rPr>
        <w:t xml:space="preserve">to transport refugees directly from </w:t>
      </w:r>
      <w:proofErr w:type="spellStart"/>
      <w:r w:rsidR="00532EED" w:rsidRPr="00F87C1B">
        <w:rPr>
          <w:lang w:val="en-GB"/>
        </w:rPr>
        <w:t>Šid</w:t>
      </w:r>
      <w:proofErr w:type="spellEnd"/>
      <w:r w:rsidR="00532EED" w:rsidRPr="00F87C1B">
        <w:rPr>
          <w:lang w:val="en-GB"/>
        </w:rPr>
        <w:t xml:space="preserve"> in Serbia to </w:t>
      </w:r>
      <w:proofErr w:type="spellStart"/>
      <w:r w:rsidR="00532EED" w:rsidRPr="00F87C1B">
        <w:rPr>
          <w:lang w:val="en-GB"/>
        </w:rPr>
        <w:t>Slavonski</w:t>
      </w:r>
      <w:proofErr w:type="spellEnd"/>
      <w:r w:rsidR="00532EED" w:rsidRPr="00F87C1B">
        <w:rPr>
          <w:lang w:val="en-GB"/>
        </w:rPr>
        <w:t xml:space="preserve"> </w:t>
      </w:r>
      <w:proofErr w:type="spellStart"/>
      <w:r w:rsidR="00532EED" w:rsidRPr="00F87C1B">
        <w:rPr>
          <w:lang w:val="en-GB"/>
        </w:rPr>
        <w:t>Brod</w:t>
      </w:r>
      <w:proofErr w:type="spellEnd"/>
      <w:r w:rsidR="00532EED" w:rsidRPr="00F87C1B">
        <w:rPr>
          <w:lang w:val="en-GB"/>
        </w:rPr>
        <w:t xml:space="preserve"> in Croatia. </w:t>
      </w:r>
      <w:r w:rsidR="00B1347E" w:rsidRPr="00F87C1B">
        <w:rPr>
          <w:lang w:val="en-GB"/>
        </w:rPr>
        <w:t>From then o</w:t>
      </w:r>
      <w:r w:rsidR="0003601F" w:rsidRPr="00F87C1B">
        <w:rPr>
          <w:lang w:val="en-GB"/>
        </w:rPr>
        <w:t>n</w:t>
      </w:r>
      <w:r w:rsidR="00050D74">
        <w:rPr>
          <w:lang w:val="en-GB"/>
        </w:rPr>
        <w:t>,</w:t>
      </w:r>
      <w:r w:rsidR="0003601F" w:rsidRPr="00F87C1B">
        <w:rPr>
          <w:lang w:val="en-GB"/>
        </w:rPr>
        <w:t xml:space="preserve"> the situation stabili</w:t>
      </w:r>
      <w:r w:rsidR="008D69E7">
        <w:rPr>
          <w:lang w:val="en-GB"/>
        </w:rPr>
        <w:t>s</w:t>
      </w:r>
      <w:r w:rsidR="0003601F" w:rsidRPr="00F87C1B">
        <w:rPr>
          <w:lang w:val="en-GB"/>
        </w:rPr>
        <w:t>ed. M</w:t>
      </w:r>
      <w:r w:rsidR="00B1347E" w:rsidRPr="00F87C1B">
        <w:rPr>
          <w:lang w:val="en-GB"/>
        </w:rPr>
        <w:t xml:space="preserve">igrants were no longer crossing the border between Serbia and Croatia on foot, but they were transported </w:t>
      </w:r>
      <w:r w:rsidR="0003601F" w:rsidRPr="00F87C1B">
        <w:rPr>
          <w:lang w:val="en-GB"/>
        </w:rPr>
        <w:t xml:space="preserve">by train free of charge </w:t>
      </w:r>
      <w:r w:rsidR="00B1347E" w:rsidRPr="00F87C1B">
        <w:rPr>
          <w:lang w:val="en-GB"/>
        </w:rPr>
        <w:t xml:space="preserve">to the reception centre in </w:t>
      </w:r>
      <w:proofErr w:type="spellStart"/>
      <w:r w:rsidR="00B1347E" w:rsidRPr="00F87C1B">
        <w:rPr>
          <w:lang w:val="en-GB"/>
        </w:rPr>
        <w:t>Slavonski</w:t>
      </w:r>
      <w:proofErr w:type="spellEnd"/>
      <w:r w:rsidR="00B1347E" w:rsidRPr="00F87C1B">
        <w:rPr>
          <w:lang w:val="en-GB"/>
        </w:rPr>
        <w:t xml:space="preserve"> </w:t>
      </w:r>
      <w:proofErr w:type="spellStart"/>
      <w:r w:rsidR="00B1347E" w:rsidRPr="00F87C1B">
        <w:rPr>
          <w:lang w:val="en-GB"/>
        </w:rPr>
        <w:t>Brod</w:t>
      </w:r>
      <w:proofErr w:type="spellEnd"/>
      <w:r w:rsidR="0003601F" w:rsidRPr="00F87C1B">
        <w:rPr>
          <w:lang w:val="en-GB"/>
        </w:rPr>
        <w:t>, where they were registered within several hours,</w:t>
      </w:r>
      <w:r w:rsidR="00B1347E" w:rsidRPr="00F87C1B">
        <w:rPr>
          <w:lang w:val="en-GB"/>
        </w:rPr>
        <w:t xml:space="preserve"> and from there they were taken to </w:t>
      </w:r>
      <w:proofErr w:type="spellStart"/>
      <w:r w:rsidR="00B1347E" w:rsidRPr="00F87C1B">
        <w:rPr>
          <w:lang w:val="en-GB"/>
        </w:rPr>
        <w:t>Sibinj</w:t>
      </w:r>
      <w:proofErr w:type="spellEnd"/>
      <w:r w:rsidR="00B1347E" w:rsidRPr="00F87C1B">
        <w:rPr>
          <w:lang w:val="en-GB"/>
        </w:rPr>
        <w:t xml:space="preserve"> where they boarded buses or trains to </w:t>
      </w:r>
      <w:proofErr w:type="spellStart"/>
      <w:r w:rsidR="00B1347E" w:rsidRPr="00F87C1B">
        <w:rPr>
          <w:lang w:val="en-GB"/>
        </w:rPr>
        <w:t>Dobova</w:t>
      </w:r>
      <w:proofErr w:type="spellEnd"/>
      <w:r w:rsidR="00B1347E" w:rsidRPr="00F87C1B">
        <w:rPr>
          <w:lang w:val="en-GB"/>
        </w:rPr>
        <w:t xml:space="preserve"> or </w:t>
      </w:r>
      <w:proofErr w:type="spellStart"/>
      <w:r w:rsidR="00B1347E" w:rsidRPr="00F87C1B">
        <w:rPr>
          <w:lang w:val="en-GB"/>
        </w:rPr>
        <w:t>Mursko</w:t>
      </w:r>
      <w:proofErr w:type="spellEnd"/>
      <w:r w:rsidR="00B1347E" w:rsidRPr="00F87C1B">
        <w:rPr>
          <w:lang w:val="en-GB"/>
        </w:rPr>
        <w:t xml:space="preserve"> </w:t>
      </w:r>
      <w:proofErr w:type="spellStart"/>
      <w:r w:rsidR="00B1347E" w:rsidRPr="00F87C1B">
        <w:rPr>
          <w:lang w:val="en-GB"/>
        </w:rPr>
        <w:t>Središće</w:t>
      </w:r>
      <w:proofErr w:type="spellEnd"/>
      <w:r w:rsidR="00B1347E" w:rsidRPr="00F87C1B">
        <w:rPr>
          <w:lang w:val="en-GB"/>
        </w:rPr>
        <w:t xml:space="preserve"> in Slovenia.</w:t>
      </w:r>
      <w:r w:rsidR="00B1347E" w:rsidRPr="00F87C1B">
        <w:rPr>
          <w:rStyle w:val="FootnoteReference"/>
          <w:lang w:val="en-GB"/>
        </w:rPr>
        <w:footnoteReference w:id="5"/>
      </w:r>
    </w:p>
    <w:p w14:paraId="19A2A341" w14:textId="77777777" w:rsidR="00882E1D" w:rsidRPr="00F87C1B" w:rsidRDefault="00882E1D" w:rsidP="007010EE">
      <w:pPr>
        <w:jc w:val="both"/>
        <w:rPr>
          <w:lang w:val="en-GB"/>
        </w:rPr>
      </w:pPr>
    </w:p>
    <w:p w14:paraId="0F5DB880" w14:textId="77777777" w:rsidR="0041389E" w:rsidRPr="00F87C1B" w:rsidRDefault="00882E1D" w:rsidP="007010EE">
      <w:pPr>
        <w:jc w:val="both"/>
        <w:rPr>
          <w:lang w:val="en-GB"/>
        </w:rPr>
      </w:pPr>
      <w:r w:rsidRPr="00F87C1B">
        <w:rPr>
          <w:lang w:val="en-GB"/>
        </w:rPr>
        <w:t>Following the German government's decision to reduce the number of asylum seekers in the country, in January 2016 Ge</w:t>
      </w:r>
      <w:r w:rsidR="00842F96" w:rsidRPr="00F87C1B">
        <w:rPr>
          <w:lang w:val="en-GB"/>
        </w:rPr>
        <w:t>r</w:t>
      </w:r>
      <w:r w:rsidRPr="00F87C1B">
        <w:rPr>
          <w:lang w:val="en-GB"/>
        </w:rPr>
        <w:t xml:space="preserve">many started allowing </w:t>
      </w:r>
      <w:r w:rsidR="00050D74">
        <w:rPr>
          <w:lang w:val="en-GB"/>
        </w:rPr>
        <w:t xml:space="preserve">the </w:t>
      </w:r>
      <w:r w:rsidRPr="00F87C1B">
        <w:rPr>
          <w:lang w:val="en-GB"/>
        </w:rPr>
        <w:t>entry of only those migr</w:t>
      </w:r>
      <w:r w:rsidR="00842F96" w:rsidRPr="00F87C1B">
        <w:rPr>
          <w:lang w:val="en-GB"/>
        </w:rPr>
        <w:t>an</w:t>
      </w:r>
      <w:r w:rsidRPr="00F87C1B">
        <w:rPr>
          <w:lang w:val="en-GB"/>
        </w:rPr>
        <w:t>ts who intended to seek asylum in Germany. This move was followed</w:t>
      </w:r>
      <w:r w:rsidR="0041389E" w:rsidRPr="00F87C1B">
        <w:rPr>
          <w:lang w:val="en-GB"/>
        </w:rPr>
        <w:t xml:space="preserve"> by Austria and it soon produced</w:t>
      </w:r>
      <w:r w:rsidRPr="00F87C1B">
        <w:rPr>
          <w:lang w:val="en-GB"/>
        </w:rPr>
        <w:t xml:space="preserve"> a chain reacti</w:t>
      </w:r>
      <w:r w:rsidR="002E6AAF" w:rsidRPr="00F87C1B">
        <w:rPr>
          <w:lang w:val="en-GB"/>
        </w:rPr>
        <w:t>on on the Western Balkans route by Slovenia, Croatia, Serbia and FYROM, which closed its border with Greece.</w:t>
      </w:r>
      <w:r w:rsidR="00E45657" w:rsidRPr="00F87C1B">
        <w:rPr>
          <w:rStyle w:val="FootnoteReference"/>
          <w:lang w:val="en-GB"/>
        </w:rPr>
        <w:footnoteReference w:id="6"/>
      </w:r>
      <w:r w:rsidR="002E6AAF" w:rsidRPr="00F87C1B">
        <w:rPr>
          <w:lang w:val="en-GB"/>
        </w:rPr>
        <w:t xml:space="preserve"> </w:t>
      </w:r>
      <w:r w:rsidR="00842F96" w:rsidRPr="00F87C1B">
        <w:rPr>
          <w:lang w:val="en-GB"/>
        </w:rPr>
        <w:t xml:space="preserve">Soon afterwards, in February 2016, Austria set a daily cap of 80 </w:t>
      </w:r>
      <w:r w:rsidR="00842F96" w:rsidRPr="00F87C1B">
        <w:rPr>
          <w:lang w:val="en-GB"/>
        </w:rPr>
        <w:lastRenderedPageBreak/>
        <w:t>asylum applications and of no more than 3,200 migrant entries into its territory.</w:t>
      </w:r>
      <w:r w:rsidR="00842F96" w:rsidRPr="00F87C1B">
        <w:rPr>
          <w:rStyle w:val="FootnoteReference"/>
          <w:lang w:val="en-GB"/>
        </w:rPr>
        <w:footnoteReference w:id="7"/>
      </w:r>
      <w:r w:rsidR="00842F96" w:rsidRPr="00F87C1B">
        <w:rPr>
          <w:lang w:val="en-GB"/>
        </w:rPr>
        <w:t xml:space="preserve"> This move was followed by Croatia and Slovenia, which decided on 26 February 2016 to impose a daily cap of 580 migrants.</w:t>
      </w:r>
      <w:r w:rsidR="00842F96" w:rsidRPr="00F87C1B">
        <w:rPr>
          <w:rStyle w:val="FootnoteReference"/>
          <w:lang w:val="en-GB"/>
        </w:rPr>
        <w:footnoteReference w:id="8"/>
      </w:r>
      <w:r w:rsidR="000A6419" w:rsidRPr="00F87C1B">
        <w:rPr>
          <w:lang w:val="en-GB"/>
        </w:rPr>
        <w:t xml:space="preserve"> </w:t>
      </w:r>
    </w:p>
    <w:p w14:paraId="197BCFB5" w14:textId="77777777" w:rsidR="00CD3E6A" w:rsidRPr="00F87C1B" w:rsidRDefault="00CD3E6A" w:rsidP="007010EE">
      <w:pPr>
        <w:jc w:val="both"/>
        <w:rPr>
          <w:rFonts w:ascii="Times" w:hAnsi="Times" w:cs="Times"/>
          <w:color w:val="262626"/>
          <w:sz w:val="32"/>
          <w:szCs w:val="32"/>
          <w:lang w:val="en-GB"/>
        </w:rPr>
      </w:pPr>
    </w:p>
    <w:p w14:paraId="3DDC17FD" w14:textId="77777777" w:rsidR="008037B9" w:rsidRPr="00F87C1B" w:rsidRDefault="00B25D36" w:rsidP="007010EE">
      <w:pPr>
        <w:jc w:val="both"/>
        <w:rPr>
          <w:lang w:val="en-GB"/>
        </w:rPr>
      </w:pPr>
      <w:r w:rsidRPr="00F87C1B">
        <w:rPr>
          <w:lang w:val="en-GB"/>
        </w:rPr>
        <w:t>The functioning of the Western Balkans route at the northern Croatian border with Slovenia was also far from smooth. On 11 November 2015 Slovenia started constructing a wire fenc</w:t>
      </w:r>
      <w:r w:rsidR="00A5737A" w:rsidRPr="00F87C1B">
        <w:rPr>
          <w:lang w:val="en-GB"/>
        </w:rPr>
        <w:t>e along its border with Croatia and, just several days later,</w:t>
      </w:r>
      <w:r w:rsidRPr="00F87C1B">
        <w:rPr>
          <w:lang w:val="en-GB"/>
        </w:rPr>
        <w:t xml:space="preserve"> </w:t>
      </w:r>
      <w:r w:rsidR="00A5737A" w:rsidRPr="00F87C1B">
        <w:rPr>
          <w:lang w:val="en-GB"/>
        </w:rPr>
        <w:t>on 19 November 2015</w:t>
      </w:r>
      <w:r w:rsidR="00050D74">
        <w:rPr>
          <w:lang w:val="en-GB"/>
        </w:rPr>
        <w:t>,</w:t>
      </w:r>
      <w:r w:rsidR="00A5737A" w:rsidRPr="00F87C1B">
        <w:rPr>
          <w:lang w:val="en-GB"/>
        </w:rPr>
        <w:t xml:space="preserve"> it decided </w:t>
      </w:r>
      <w:r w:rsidR="00050D74">
        <w:rPr>
          <w:lang w:val="en-GB"/>
        </w:rPr>
        <w:t>to</w:t>
      </w:r>
      <w:r w:rsidR="00A5737A" w:rsidRPr="00F87C1B">
        <w:rPr>
          <w:lang w:val="en-GB"/>
        </w:rPr>
        <w:t xml:space="preserve"> allow </w:t>
      </w:r>
      <w:r w:rsidR="00050D74">
        <w:rPr>
          <w:lang w:val="en-GB"/>
        </w:rPr>
        <w:t xml:space="preserve">the </w:t>
      </w:r>
      <w:r w:rsidR="00A5737A" w:rsidRPr="00F87C1B">
        <w:rPr>
          <w:lang w:val="en-GB"/>
        </w:rPr>
        <w:t xml:space="preserve">entry of only those migrants </w:t>
      </w:r>
      <w:r w:rsidR="00050D74">
        <w:rPr>
          <w:lang w:val="en-GB"/>
        </w:rPr>
        <w:t>“</w:t>
      </w:r>
      <w:r w:rsidR="00C17D68" w:rsidRPr="00F87C1B">
        <w:rPr>
          <w:lang w:val="en-GB"/>
        </w:rPr>
        <w:t xml:space="preserve">from countries </w:t>
      </w:r>
      <w:r w:rsidR="00A5737A" w:rsidRPr="00F87C1B">
        <w:rPr>
          <w:lang w:val="en-GB"/>
        </w:rPr>
        <w:t>where there is armed conflict</w:t>
      </w:r>
      <w:r w:rsidR="00050D74">
        <w:rPr>
          <w:lang w:val="en-GB"/>
        </w:rPr>
        <w:t>”</w:t>
      </w:r>
      <w:r w:rsidR="00A5737A" w:rsidRPr="00F87C1B">
        <w:rPr>
          <w:lang w:val="en-GB"/>
        </w:rPr>
        <w:t>, thus triggering a chain reaction in Croatia, Serbia and the FYROM.</w:t>
      </w:r>
      <w:r w:rsidR="00A5737A" w:rsidRPr="00F87C1B">
        <w:rPr>
          <w:rStyle w:val="FootnoteReference"/>
          <w:lang w:val="en-GB"/>
        </w:rPr>
        <w:footnoteReference w:id="9"/>
      </w:r>
      <w:r w:rsidR="00C17D68" w:rsidRPr="00F87C1B">
        <w:rPr>
          <w:lang w:val="en-GB"/>
        </w:rPr>
        <w:t xml:space="preserve"> </w:t>
      </w:r>
      <w:r w:rsidR="00245989" w:rsidRPr="00F87C1B">
        <w:rPr>
          <w:lang w:val="en-GB"/>
        </w:rPr>
        <w:t>Consequently, t</w:t>
      </w:r>
      <w:r w:rsidR="00C17D68" w:rsidRPr="00F87C1B">
        <w:rPr>
          <w:lang w:val="en-GB"/>
        </w:rPr>
        <w:t xml:space="preserve">he then Croatian minister of </w:t>
      </w:r>
      <w:r w:rsidR="00050D74">
        <w:rPr>
          <w:lang w:val="en-GB"/>
        </w:rPr>
        <w:t xml:space="preserve">the </w:t>
      </w:r>
      <w:r w:rsidR="00C17D68" w:rsidRPr="00F87C1B">
        <w:rPr>
          <w:lang w:val="en-GB"/>
        </w:rPr>
        <w:t>interior stated that Croatia would allow in migrants from Syria, Iraq, Afghanistan and Palestinians.</w:t>
      </w:r>
      <w:r w:rsidR="00C17D68" w:rsidRPr="00F87C1B">
        <w:rPr>
          <w:rStyle w:val="FootnoteReference"/>
          <w:lang w:val="en-GB"/>
        </w:rPr>
        <w:footnoteReference w:id="10"/>
      </w:r>
      <w:r w:rsidR="00C17D68" w:rsidRPr="00F87C1B">
        <w:rPr>
          <w:lang w:val="en-GB"/>
        </w:rPr>
        <w:t xml:space="preserve"> </w:t>
      </w:r>
    </w:p>
    <w:p w14:paraId="3F911875" w14:textId="77777777" w:rsidR="008037B9" w:rsidRPr="00F87C1B" w:rsidRDefault="008037B9" w:rsidP="007010EE">
      <w:pPr>
        <w:jc w:val="both"/>
        <w:rPr>
          <w:lang w:val="en-GB"/>
        </w:rPr>
      </w:pPr>
    </w:p>
    <w:p w14:paraId="3C640849" w14:textId="77777777" w:rsidR="008037B9" w:rsidRPr="00F87C1B" w:rsidRDefault="008037B9" w:rsidP="007010EE">
      <w:pPr>
        <w:jc w:val="both"/>
        <w:rPr>
          <w:lang w:val="en-GB"/>
        </w:rPr>
      </w:pPr>
      <w:r w:rsidRPr="00F87C1B">
        <w:rPr>
          <w:lang w:val="en-GB"/>
        </w:rPr>
        <w:t xml:space="preserve">The restrictions along the Western Balkans route continued </w:t>
      </w:r>
      <w:r w:rsidR="00226ADB">
        <w:rPr>
          <w:lang w:val="en-GB"/>
        </w:rPr>
        <w:t xml:space="preserve">to </w:t>
      </w:r>
      <w:r w:rsidRPr="00F87C1B">
        <w:rPr>
          <w:lang w:val="en-GB"/>
        </w:rPr>
        <w:t xml:space="preserve">escalate in January and February 2016. Finally, at the meeting of </w:t>
      </w:r>
      <w:r w:rsidR="00226ADB">
        <w:rPr>
          <w:lang w:val="en-GB"/>
        </w:rPr>
        <w:t xml:space="preserve">the </w:t>
      </w:r>
      <w:r w:rsidRPr="00F87C1B">
        <w:rPr>
          <w:lang w:val="en-GB"/>
        </w:rPr>
        <w:t xml:space="preserve">heads of police services of the Western Balkans countries, held in Zagreb on 18 February 2016, it was agreed that entry would be allowed only </w:t>
      </w:r>
      <w:r w:rsidR="00226ADB">
        <w:rPr>
          <w:lang w:val="en-GB"/>
        </w:rPr>
        <w:t>for</w:t>
      </w:r>
      <w:r w:rsidRPr="00F87C1B">
        <w:rPr>
          <w:lang w:val="en-GB"/>
        </w:rPr>
        <w:t xml:space="preserve"> those individuals who ha</w:t>
      </w:r>
      <w:r w:rsidR="00226ADB">
        <w:rPr>
          <w:lang w:val="en-GB"/>
        </w:rPr>
        <w:t>d</w:t>
      </w:r>
      <w:r w:rsidRPr="00F87C1B">
        <w:rPr>
          <w:lang w:val="en-GB"/>
        </w:rPr>
        <w:t xml:space="preserve"> a valid travel document and a visa or a residence permit, or who </w:t>
      </w:r>
      <w:r w:rsidR="00226ADB">
        <w:rPr>
          <w:lang w:val="en-GB"/>
        </w:rPr>
        <w:t>we</w:t>
      </w:r>
      <w:r w:rsidRPr="00F87C1B">
        <w:rPr>
          <w:lang w:val="en-GB"/>
        </w:rPr>
        <w:t xml:space="preserve">re arriving from war-torn areas </w:t>
      </w:r>
      <w:r w:rsidR="00821A14" w:rsidRPr="00F87C1B">
        <w:rPr>
          <w:lang w:val="en-GB"/>
        </w:rPr>
        <w:t xml:space="preserve">and </w:t>
      </w:r>
      <w:r w:rsidR="00226ADB">
        <w:rPr>
          <w:lang w:val="en-GB"/>
        </w:rPr>
        <w:t>we</w:t>
      </w:r>
      <w:r w:rsidR="00821A14" w:rsidRPr="00F87C1B">
        <w:rPr>
          <w:lang w:val="en-GB"/>
        </w:rPr>
        <w:t xml:space="preserve">re in need of international protection, provided they </w:t>
      </w:r>
      <w:r w:rsidR="00226ADB">
        <w:rPr>
          <w:lang w:val="en-GB"/>
        </w:rPr>
        <w:t xml:space="preserve">could </w:t>
      </w:r>
      <w:r w:rsidR="00821A14" w:rsidRPr="00F87C1B">
        <w:rPr>
          <w:lang w:val="en-GB"/>
        </w:rPr>
        <w:t xml:space="preserve">prove their nationality and </w:t>
      </w:r>
      <w:r w:rsidR="00226ADB">
        <w:rPr>
          <w:lang w:val="en-GB"/>
        </w:rPr>
        <w:t>we</w:t>
      </w:r>
      <w:r w:rsidR="00821A14" w:rsidRPr="00F87C1B">
        <w:rPr>
          <w:lang w:val="en-GB"/>
        </w:rPr>
        <w:t>re in possession of a registration form issued by Greek authorities.</w:t>
      </w:r>
      <w:r w:rsidR="00821A14" w:rsidRPr="00F87C1B">
        <w:rPr>
          <w:rStyle w:val="FootnoteReference"/>
          <w:lang w:val="en-GB"/>
        </w:rPr>
        <w:footnoteReference w:id="11"/>
      </w:r>
    </w:p>
    <w:p w14:paraId="649EB2CE" w14:textId="77777777" w:rsidR="0033669F" w:rsidRPr="00F87C1B" w:rsidRDefault="0033669F" w:rsidP="007010EE">
      <w:pPr>
        <w:jc w:val="both"/>
        <w:rPr>
          <w:lang w:val="en-GB"/>
        </w:rPr>
      </w:pPr>
    </w:p>
    <w:p w14:paraId="373E8452" w14:textId="77777777" w:rsidR="00860BFA" w:rsidRPr="00F87C1B" w:rsidRDefault="00860BFA" w:rsidP="007010EE">
      <w:pPr>
        <w:jc w:val="both"/>
        <w:rPr>
          <w:lang w:val="en-GB"/>
        </w:rPr>
      </w:pPr>
      <w:r w:rsidRPr="00F87C1B">
        <w:rPr>
          <w:lang w:val="en-GB"/>
        </w:rPr>
        <w:t xml:space="preserve">On 7 March 2016 the EU heads of state or government held a meeting with Turkey to find modes of cooperation in the context of the refugee influx. The meeting </w:t>
      </w:r>
      <w:r w:rsidR="00226ADB">
        <w:rPr>
          <w:lang w:val="en-GB"/>
        </w:rPr>
        <w:t xml:space="preserve">led to </w:t>
      </w:r>
      <w:r w:rsidRPr="00F87C1B">
        <w:rPr>
          <w:lang w:val="en-GB"/>
        </w:rPr>
        <w:t>an agreement on the outlines of the future deal with Turkey reached on 18 March 2016.</w:t>
      </w:r>
      <w:r w:rsidRPr="00F87C1B">
        <w:rPr>
          <w:rStyle w:val="FootnoteReference"/>
          <w:lang w:val="en-GB"/>
        </w:rPr>
        <w:footnoteReference w:id="12"/>
      </w:r>
      <w:r w:rsidRPr="00F87C1B">
        <w:rPr>
          <w:lang w:val="en-GB"/>
        </w:rPr>
        <w:t xml:space="preserve"> </w:t>
      </w:r>
      <w:r w:rsidR="00226ADB">
        <w:rPr>
          <w:lang w:val="en-GB"/>
        </w:rPr>
        <w:t>This</w:t>
      </w:r>
      <w:r w:rsidRPr="00F87C1B">
        <w:rPr>
          <w:lang w:val="en-GB"/>
        </w:rPr>
        <w:t xml:space="preserve"> resulted in the Statement of the EU Heads of State or Government </w:t>
      </w:r>
      <w:proofErr w:type="gramStart"/>
      <w:r w:rsidRPr="00F87C1B">
        <w:rPr>
          <w:lang w:val="en-GB"/>
        </w:rPr>
        <w:t>proclaiming that</w:t>
      </w:r>
      <w:proofErr w:type="gramEnd"/>
      <w:r w:rsidRPr="00F87C1B">
        <w:rPr>
          <w:lang w:val="en-GB"/>
        </w:rPr>
        <w:t xml:space="preserve"> “irregular flows of migrants along the Western Balkans route have now come to an end”.</w:t>
      </w:r>
      <w:r w:rsidRPr="00F87C1B">
        <w:rPr>
          <w:rStyle w:val="FootnoteReference"/>
          <w:lang w:val="en-GB"/>
        </w:rPr>
        <w:footnoteReference w:id="13"/>
      </w:r>
      <w:r w:rsidRPr="00F87C1B">
        <w:rPr>
          <w:lang w:val="en-GB"/>
        </w:rPr>
        <w:t xml:space="preserve"> In effect, from 8 March 2016 the countries along the Western Balkans route closed their borders for migration flows and stated they would </w:t>
      </w:r>
      <w:r w:rsidR="00226ADB">
        <w:rPr>
          <w:lang w:val="en-GB"/>
        </w:rPr>
        <w:t xml:space="preserve">accept </w:t>
      </w:r>
      <w:r w:rsidRPr="00F87C1B">
        <w:rPr>
          <w:lang w:val="en-GB"/>
        </w:rPr>
        <w:t>only those individuals</w:t>
      </w:r>
      <w:r w:rsidR="00D903F3" w:rsidRPr="00F87C1B">
        <w:rPr>
          <w:lang w:val="en-GB"/>
        </w:rPr>
        <w:t xml:space="preserve"> travell</w:t>
      </w:r>
      <w:r w:rsidR="00226ADB">
        <w:rPr>
          <w:lang w:val="en-GB"/>
        </w:rPr>
        <w:t>ing</w:t>
      </w:r>
      <w:r w:rsidR="00D903F3" w:rsidRPr="00F87C1B">
        <w:rPr>
          <w:lang w:val="en-GB"/>
        </w:rPr>
        <w:t xml:space="preserve"> with valid </w:t>
      </w:r>
      <w:r w:rsidR="00D903F3" w:rsidRPr="00F87C1B">
        <w:rPr>
          <w:lang w:val="en-GB"/>
        </w:rPr>
        <w:lastRenderedPageBreak/>
        <w:t>documents and visas or</w:t>
      </w:r>
      <w:r w:rsidRPr="00F87C1B">
        <w:rPr>
          <w:lang w:val="en-GB"/>
        </w:rPr>
        <w:t xml:space="preserve"> who </w:t>
      </w:r>
      <w:r w:rsidR="00D903F3" w:rsidRPr="00F87C1B">
        <w:rPr>
          <w:lang w:val="en-GB"/>
        </w:rPr>
        <w:t>planned to request asylum or</w:t>
      </w:r>
      <w:r w:rsidRPr="00F87C1B">
        <w:rPr>
          <w:lang w:val="en-GB"/>
        </w:rPr>
        <w:t xml:space="preserve"> sought entry for humanitarian reasons.</w:t>
      </w:r>
      <w:r w:rsidRPr="00F87C1B">
        <w:rPr>
          <w:rStyle w:val="FootnoteReference"/>
          <w:lang w:val="en-GB"/>
        </w:rPr>
        <w:footnoteReference w:id="14"/>
      </w:r>
    </w:p>
    <w:p w14:paraId="7466FE73" w14:textId="77777777" w:rsidR="00860BFA" w:rsidRPr="00F87C1B" w:rsidRDefault="00860BFA" w:rsidP="007010EE">
      <w:pPr>
        <w:jc w:val="both"/>
        <w:rPr>
          <w:lang w:val="en-GB"/>
        </w:rPr>
      </w:pPr>
    </w:p>
    <w:p w14:paraId="2E3C789D" w14:textId="77777777" w:rsidR="002C7B32" w:rsidRPr="00F87C1B" w:rsidRDefault="002C7B32" w:rsidP="007010EE">
      <w:pPr>
        <w:jc w:val="both"/>
        <w:rPr>
          <w:lang w:val="en-GB"/>
        </w:rPr>
      </w:pPr>
    </w:p>
    <w:p w14:paraId="60EBFC2B" w14:textId="77777777" w:rsidR="00CF653B" w:rsidRPr="00F87C1B" w:rsidRDefault="00CF653B" w:rsidP="001F49DD">
      <w:pPr>
        <w:outlineLvl w:val="0"/>
        <w:rPr>
          <w:b/>
          <w:lang w:val="en-GB"/>
        </w:rPr>
      </w:pPr>
      <w:r w:rsidRPr="00F87C1B">
        <w:rPr>
          <w:b/>
          <w:lang w:val="en-GB"/>
        </w:rPr>
        <w:t>3. Croatia and the Western Balkan Route – Facts and Figures</w:t>
      </w:r>
    </w:p>
    <w:p w14:paraId="5835F55B" w14:textId="77777777" w:rsidR="00CF653B" w:rsidRPr="00F87C1B" w:rsidRDefault="00CF653B" w:rsidP="007010EE">
      <w:pPr>
        <w:jc w:val="both"/>
        <w:rPr>
          <w:lang w:val="en-GB"/>
        </w:rPr>
      </w:pPr>
    </w:p>
    <w:p w14:paraId="291287F1" w14:textId="77777777" w:rsidR="00287A17" w:rsidRPr="00F87C1B" w:rsidRDefault="00287A17" w:rsidP="007010EE">
      <w:pPr>
        <w:jc w:val="both"/>
        <w:rPr>
          <w:rFonts w:cs="Times"/>
          <w:lang w:val="en-GB"/>
        </w:rPr>
      </w:pPr>
      <w:r w:rsidRPr="00F87C1B">
        <w:rPr>
          <w:lang w:val="en-GB"/>
        </w:rPr>
        <w:t>Since the start of</w:t>
      </w:r>
      <w:r w:rsidR="007010EE" w:rsidRPr="00F87C1B">
        <w:rPr>
          <w:lang w:val="en-GB"/>
        </w:rPr>
        <w:t xml:space="preserve"> the refugee influx</w:t>
      </w:r>
      <w:r w:rsidRPr="00F87C1B">
        <w:rPr>
          <w:lang w:val="en-GB"/>
        </w:rPr>
        <w:t xml:space="preserve"> on 16 September 2015</w:t>
      </w:r>
      <w:r w:rsidR="007010EE" w:rsidRPr="00F87C1B">
        <w:rPr>
          <w:lang w:val="en-GB"/>
        </w:rPr>
        <w:t xml:space="preserve"> until</w:t>
      </w:r>
      <w:r w:rsidR="00E60FC8" w:rsidRPr="00F87C1B">
        <w:rPr>
          <w:lang w:val="en-GB"/>
        </w:rPr>
        <w:t xml:space="preserve"> the closure of the Western Balkans route on</w:t>
      </w:r>
      <w:r w:rsidR="007010EE" w:rsidRPr="00F87C1B">
        <w:rPr>
          <w:lang w:val="en-GB"/>
        </w:rPr>
        <w:t xml:space="preserve"> </w:t>
      </w:r>
      <w:r w:rsidR="009772A0" w:rsidRPr="00F87C1B">
        <w:rPr>
          <w:lang w:val="en-GB"/>
        </w:rPr>
        <w:t>8</w:t>
      </w:r>
      <w:r w:rsidR="00E60FC8" w:rsidRPr="00F87C1B">
        <w:rPr>
          <w:lang w:val="en-GB"/>
        </w:rPr>
        <w:t xml:space="preserve"> March 2016</w:t>
      </w:r>
      <w:r w:rsidR="009772A0" w:rsidRPr="00F87C1B">
        <w:rPr>
          <w:lang w:val="en-GB"/>
        </w:rPr>
        <w:t>,</w:t>
      </w:r>
      <w:r w:rsidR="006A2468" w:rsidRPr="00F87C1B">
        <w:rPr>
          <w:lang w:val="en-GB"/>
        </w:rPr>
        <w:t xml:space="preserve"> an esti</w:t>
      </w:r>
      <w:r w:rsidR="007010EE" w:rsidRPr="00F87C1B">
        <w:rPr>
          <w:lang w:val="en-GB"/>
        </w:rPr>
        <w:t>m</w:t>
      </w:r>
      <w:r w:rsidR="006A2468" w:rsidRPr="00F87C1B">
        <w:rPr>
          <w:lang w:val="en-GB"/>
        </w:rPr>
        <w:t>a</w:t>
      </w:r>
      <w:r w:rsidR="007010EE" w:rsidRPr="00F87C1B">
        <w:rPr>
          <w:lang w:val="en-GB"/>
        </w:rPr>
        <w:t>ted 658,068 refugees and migrants – mostly from Syria, Afghanistan and Iraq, but also from other countries – transited through Croatia.</w:t>
      </w:r>
      <w:r w:rsidR="007010EE" w:rsidRPr="00F87C1B">
        <w:rPr>
          <w:rStyle w:val="FootnoteReference"/>
          <w:lang w:val="en-GB"/>
        </w:rPr>
        <w:footnoteReference w:id="15"/>
      </w:r>
      <w:r w:rsidR="00A03316" w:rsidRPr="00F87C1B">
        <w:rPr>
          <w:rFonts w:ascii="Times" w:hAnsi="Times" w:cs="Times"/>
          <w:color w:val="636363"/>
          <w:lang w:val="en-GB"/>
        </w:rPr>
        <w:t xml:space="preserve"> </w:t>
      </w:r>
      <w:r w:rsidR="009772A0" w:rsidRPr="00F87C1B">
        <w:rPr>
          <w:lang w:val="en-GB"/>
        </w:rPr>
        <w:t>On average, there</w:t>
      </w:r>
      <w:r w:rsidR="00A03316" w:rsidRPr="00F87C1B">
        <w:rPr>
          <w:lang w:val="en-GB"/>
        </w:rPr>
        <w:t xml:space="preserve"> were 5,500 daily arrivals with a peak of</w:t>
      </w:r>
      <w:r w:rsidR="00A03316" w:rsidRPr="00F87C1B">
        <w:rPr>
          <w:rFonts w:ascii="Times" w:hAnsi="Times" w:cs="Times"/>
          <w:lang w:val="en-GB"/>
        </w:rPr>
        <w:t xml:space="preserve"> 11,000 arrivals on 17 September 2015.</w:t>
      </w:r>
      <w:r w:rsidR="00A03316" w:rsidRPr="00F87C1B">
        <w:rPr>
          <w:rStyle w:val="FootnoteReference"/>
          <w:lang w:val="en-GB"/>
        </w:rPr>
        <w:footnoteReference w:id="16"/>
      </w:r>
      <w:r w:rsidR="00E43A17" w:rsidRPr="00F87C1B">
        <w:rPr>
          <w:rFonts w:cs="Times"/>
          <w:lang w:val="en-GB"/>
        </w:rPr>
        <w:t xml:space="preserve"> </w:t>
      </w:r>
      <w:r w:rsidR="00AD7E92" w:rsidRPr="00F87C1B">
        <w:rPr>
          <w:rFonts w:cs="Times"/>
          <w:lang w:val="en-GB"/>
        </w:rPr>
        <w:t xml:space="preserve">According to the </w:t>
      </w:r>
      <w:proofErr w:type="spellStart"/>
      <w:r w:rsidR="00AD7E92" w:rsidRPr="00F87C1B">
        <w:rPr>
          <w:rFonts w:cs="Times"/>
          <w:lang w:val="en-GB"/>
        </w:rPr>
        <w:t>Frontex</w:t>
      </w:r>
      <w:proofErr w:type="spellEnd"/>
      <w:r w:rsidR="00AD7E92" w:rsidRPr="00F87C1B">
        <w:rPr>
          <w:rFonts w:cs="Times"/>
          <w:lang w:val="en-GB"/>
        </w:rPr>
        <w:t xml:space="preserve"> report, the 764,038 detections of illegal border crossings on the Western Balkans route in 2015 dropped to 130,261 detections in 2016, which reflected the closure of the Western Balkans route in March 2016.</w:t>
      </w:r>
      <w:r w:rsidR="00AD7E92" w:rsidRPr="00F87C1B">
        <w:rPr>
          <w:rStyle w:val="FootnoteReference"/>
          <w:rFonts w:cs="Times"/>
          <w:lang w:val="en-GB"/>
        </w:rPr>
        <w:footnoteReference w:id="17"/>
      </w:r>
      <w:r w:rsidR="00AD7E92" w:rsidRPr="00F87C1B">
        <w:rPr>
          <w:rFonts w:cs="Times"/>
          <w:lang w:val="en-GB"/>
        </w:rPr>
        <w:t xml:space="preserve"> </w:t>
      </w:r>
    </w:p>
    <w:p w14:paraId="46F5E0E6" w14:textId="77777777" w:rsidR="00B332A3" w:rsidRPr="00F87C1B" w:rsidRDefault="00B332A3" w:rsidP="007010EE">
      <w:pPr>
        <w:jc w:val="both"/>
        <w:rPr>
          <w:rFonts w:cs="Times"/>
          <w:lang w:val="en-GB"/>
        </w:rPr>
      </w:pPr>
    </w:p>
    <w:p w14:paraId="61C1A1CF" w14:textId="77777777" w:rsidR="004D6531" w:rsidRPr="00F87C1B" w:rsidRDefault="00B332A3" w:rsidP="007010EE">
      <w:pPr>
        <w:jc w:val="both"/>
        <w:rPr>
          <w:rFonts w:cs="Times"/>
          <w:lang w:val="en-GB"/>
        </w:rPr>
      </w:pPr>
      <w:r w:rsidRPr="00F87C1B">
        <w:rPr>
          <w:rFonts w:cs="Times"/>
          <w:lang w:val="en-GB"/>
        </w:rPr>
        <w:t>Unfortunately</w:t>
      </w:r>
      <w:r w:rsidR="004D6531" w:rsidRPr="00F87C1B">
        <w:rPr>
          <w:rFonts w:cs="Times"/>
          <w:lang w:val="en-GB"/>
        </w:rPr>
        <w:t>, there are no official and publicly available data on the number of registrations and fingerprints that were taken</w:t>
      </w:r>
      <w:r w:rsidRPr="00F87C1B">
        <w:rPr>
          <w:rFonts w:cs="Times"/>
          <w:lang w:val="en-GB"/>
        </w:rPr>
        <w:t xml:space="preserve"> by Croatian authorities</w:t>
      </w:r>
      <w:r w:rsidR="004D6531" w:rsidRPr="00F87C1B">
        <w:rPr>
          <w:rFonts w:cs="Times"/>
          <w:lang w:val="en-GB"/>
        </w:rPr>
        <w:t xml:space="preserve"> and stored in the database</w:t>
      </w:r>
      <w:r w:rsidRPr="00F87C1B">
        <w:rPr>
          <w:rFonts w:cs="Times"/>
          <w:lang w:val="en-GB"/>
        </w:rPr>
        <w:t xml:space="preserve"> during the period of the peak of the refugee influx at the end of 2015 and the beginning of 2016</w:t>
      </w:r>
      <w:r w:rsidR="004D6531" w:rsidRPr="00F87C1B">
        <w:rPr>
          <w:rFonts w:cs="Times"/>
          <w:lang w:val="en-GB"/>
        </w:rPr>
        <w:t>.</w:t>
      </w:r>
      <w:r w:rsidR="004D6531" w:rsidRPr="00F87C1B">
        <w:rPr>
          <w:rStyle w:val="FootnoteReference"/>
          <w:rFonts w:cs="Times"/>
          <w:lang w:val="en-GB"/>
        </w:rPr>
        <w:footnoteReference w:id="18"/>
      </w:r>
      <w:r w:rsidR="004D6531" w:rsidRPr="00F87C1B">
        <w:rPr>
          <w:rFonts w:cs="Times"/>
          <w:lang w:val="en-GB"/>
        </w:rPr>
        <w:t xml:space="preserve"> </w:t>
      </w:r>
      <w:r w:rsidR="008D69E7">
        <w:rPr>
          <w:rFonts w:cs="Times"/>
          <w:lang w:val="en-GB"/>
        </w:rPr>
        <w:t>C</w:t>
      </w:r>
      <w:r w:rsidR="004D6531" w:rsidRPr="00F87C1B">
        <w:rPr>
          <w:rFonts w:cs="Times"/>
          <w:lang w:val="en-GB"/>
        </w:rPr>
        <w:t>oncerns that Croatia had not been consistently fingerprinting migrants at the peak of the crisis</w:t>
      </w:r>
      <w:r w:rsidR="004D6531" w:rsidRPr="00F87C1B">
        <w:rPr>
          <w:rStyle w:val="FootnoteReference"/>
          <w:rFonts w:cs="Times"/>
          <w:lang w:val="en-GB"/>
        </w:rPr>
        <w:footnoteReference w:id="19"/>
      </w:r>
      <w:r w:rsidR="004D6531" w:rsidRPr="00F87C1B">
        <w:rPr>
          <w:rFonts w:cs="Times"/>
          <w:lang w:val="en-GB"/>
        </w:rPr>
        <w:t xml:space="preserve"> are reflected in the </w:t>
      </w:r>
      <w:r w:rsidR="000258B9" w:rsidRPr="00F87C1B">
        <w:rPr>
          <w:rFonts w:cs="Times"/>
          <w:lang w:val="en-GB"/>
        </w:rPr>
        <w:t xml:space="preserve">fact that the European Commission decided to initiate infringement proceedings against Croatia due to its potential violation of the </w:t>
      </w:r>
      <w:proofErr w:type="spellStart"/>
      <w:r w:rsidR="000258B9" w:rsidRPr="00F87C1B">
        <w:rPr>
          <w:rFonts w:cs="Times"/>
          <w:lang w:val="en-GB"/>
        </w:rPr>
        <w:t>Eurodac</w:t>
      </w:r>
      <w:proofErr w:type="spellEnd"/>
      <w:r w:rsidR="000258B9" w:rsidRPr="00F87C1B">
        <w:rPr>
          <w:rFonts w:cs="Times"/>
          <w:lang w:val="en-GB"/>
        </w:rPr>
        <w:t xml:space="preserve"> regulation.</w:t>
      </w:r>
      <w:r w:rsidR="00CE2348" w:rsidRPr="00F87C1B">
        <w:rPr>
          <w:rStyle w:val="FootnoteReference"/>
          <w:rFonts w:cs="Times"/>
          <w:lang w:val="en-GB"/>
        </w:rPr>
        <w:footnoteReference w:id="20"/>
      </w:r>
      <w:r w:rsidR="000258B9" w:rsidRPr="00F87C1B">
        <w:rPr>
          <w:rFonts w:cs="Times"/>
          <w:lang w:val="en-GB"/>
        </w:rPr>
        <w:t xml:space="preserve"> The Commission sent a letter of formal notice to the Croatian authorities in December 2015. Not being satisfied with the Croatian response, on 14 June 2017 the Commission decided to follow up with a reason</w:t>
      </w:r>
      <w:r w:rsidR="005D3EA4" w:rsidRPr="00F87C1B">
        <w:rPr>
          <w:rFonts w:cs="Times"/>
          <w:lang w:val="en-GB"/>
        </w:rPr>
        <w:t>ed</w:t>
      </w:r>
      <w:r w:rsidR="000258B9" w:rsidRPr="00F87C1B">
        <w:rPr>
          <w:rFonts w:cs="Times"/>
          <w:lang w:val="en-GB"/>
        </w:rPr>
        <w:t xml:space="preserve"> opinion and</w:t>
      </w:r>
      <w:r w:rsidR="005D3EA4" w:rsidRPr="00F87C1B">
        <w:rPr>
          <w:rFonts w:cs="Times"/>
          <w:lang w:val="en-GB"/>
        </w:rPr>
        <w:t>,</w:t>
      </w:r>
      <w:r w:rsidR="000258B9" w:rsidRPr="00F87C1B">
        <w:rPr>
          <w:rFonts w:cs="Times"/>
          <w:lang w:val="en-GB"/>
        </w:rPr>
        <w:t xml:space="preserve"> depending on the Croatian response, it may decide to bring the case before the Court of Justice. </w:t>
      </w:r>
    </w:p>
    <w:p w14:paraId="5C695C43" w14:textId="77777777" w:rsidR="004D6531" w:rsidRPr="00F87C1B" w:rsidRDefault="004D6531" w:rsidP="007010EE">
      <w:pPr>
        <w:jc w:val="both"/>
        <w:rPr>
          <w:rFonts w:cs="Times"/>
          <w:lang w:val="en-GB"/>
        </w:rPr>
      </w:pPr>
      <w:r w:rsidRPr="00F87C1B">
        <w:rPr>
          <w:rFonts w:cs="Times"/>
          <w:lang w:val="en-GB"/>
        </w:rPr>
        <w:t xml:space="preserve"> </w:t>
      </w:r>
    </w:p>
    <w:p w14:paraId="51055CEA" w14:textId="77777777" w:rsidR="00CF653B" w:rsidRPr="00F87C1B" w:rsidRDefault="00100C2E" w:rsidP="007010EE">
      <w:pPr>
        <w:jc w:val="both"/>
        <w:rPr>
          <w:rFonts w:cs="Times"/>
          <w:lang w:val="en-GB"/>
        </w:rPr>
      </w:pPr>
      <w:r w:rsidRPr="00F87C1B">
        <w:rPr>
          <w:rFonts w:cs="Times"/>
          <w:lang w:val="en-GB"/>
        </w:rPr>
        <w:t>Before and during the existence of the Western Balkans route</w:t>
      </w:r>
      <w:r w:rsidR="0024516D" w:rsidRPr="00F87C1B">
        <w:rPr>
          <w:rFonts w:cs="Times"/>
          <w:lang w:val="en-GB"/>
        </w:rPr>
        <w:t>,</w:t>
      </w:r>
      <w:r w:rsidRPr="00F87C1B">
        <w:rPr>
          <w:rFonts w:cs="Times"/>
          <w:lang w:val="en-GB"/>
        </w:rPr>
        <w:t xml:space="preserve"> Croatia was a transit country </w:t>
      </w:r>
      <w:r w:rsidR="008D69E7">
        <w:rPr>
          <w:rFonts w:cs="Times"/>
          <w:lang w:val="en-GB"/>
        </w:rPr>
        <w:t xml:space="preserve">where </w:t>
      </w:r>
      <w:r w:rsidRPr="00F87C1B">
        <w:rPr>
          <w:rFonts w:cs="Times"/>
          <w:lang w:val="en-GB"/>
        </w:rPr>
        <w:t xml:space="preserve">migrants </w:t>
      </w:r>
      <w:r w:rsidR="009B7DD6" w:rsidRPr="00F87C1B">
        <w:rPr>
          <w:rFonts w:cs="Times"/>
          <w:lang w:val="en-GB"/>
        </w:rPr>
        <w:t xml:space="preserve">generally </w:t>
      </w:r>
      <w:r w:rsidRPr="00F87C1B">
        <w:rPr>
          <w:rFonts w:cs="Times"/>
          <w:lang w:val="en-GB"/>
        </w:rPr>
        <w:t xml:space="preserve">did not want to stay and apply for asylum. </w:t>
      </w:r>
      <w:r w:rsidR="008D69E7">
        <w:rPr>
          <w:rFonts w:cs="Times"/>
          <w:lang w:val="en-GB"/>
        </w:rPr>
        <w:t>F</w:t>
      </w:r>
      <w:r w:rsidR="0024516D" w:rsidRPr="00F87C1B">
        <w:rPr>
          <w:rFonts w:cs="Times"/>
          <w:lang w:val="en-GB"/>
        </w:rPr>
        <w:t>ew applied and</w:t>
      </w:r>
      <w:r w:rsidRPr="00F87C1B">
        <w:rPr>
          <w:rFonts w:cs="Times"/>
          <w:lang w:val="en-GB"/>
        </w:rPr>
        <w:t xml:space="preserve"> they </w:t>
      </w:r>
      <w:r w:rsidR="005D3EA4" w:rsidRPr="00F87C1B">
        <w:rPr>
          <w:rFonts w:cs="Times"/>
          <w:lang w:val="en-GB"/>
        </w:rPr>
        <w:t>could be</w:t>
      </w:r>
      <w:r w:rsidRPr="00F87C1B">
        <w:rPr>
          <w:rFonts w:cs="Times"/>
          <w:lang w:val="en-GB"/>
        </w:rPr>
        <w:t xml:space="preserve"> characterised as reluctant asylum-seekers who made an application in Croatia due to circumstances beyond their control and who aspired to leave.</w:t>
      </w:r>
      <w:r w:rsidRPr="00F87C1B">
        <w:rPr>
          <w:rStyle w:val="FootnoteReference"/>
          <w:rFonts w:cs="Times"/>
          <w:lang w:val="en-GB"/>
        </w:rPr>
        <w:footnoteReference w:id="21"/>
      </w:r>
      <w:r w:rsidR="00E826FF" w:rsidRPr="00F87C1B">
        <w:rPr>
          <w:rFonts w:cs="Times"/>
          <w:lang w:val="en-GB"/>
        </w:rPr>
        <w:t xml:space="preserve"> </w:t>
      </w:r>
      <w:r w:rsidR="0024516D" w:rsidRPr="00F87C1B">
        <w:rPr>
          <w:rFonts w:cs="Times"/>
          <w:lang w:val="en-GB"/>
        </w:rPr>
        <w:t xml:space="preserve">Of those who applied before 2015, more than </w:t>
      </w:r>
      <w:r w:rsidR="0024516D" w:rsidRPr="00F87C1B">
        <w:rPr>
          <w:rFonts w:cs="Times"/>
          <w:lang w:val="en-GB"/>
        </w:rPr>
        <w:lastRenderedPageBreak/>
        <w:t>80% would leave Croatia before their application was processed.</w:t>
      </w:r>
      <w:r w:rsidR="0024516D" w:rsidRPr="00F87C1B">
        <w:rPr>
          <w:rStyle w:val="FootnoteReference"/>
          <w:rFonts w:cs="Times"/>
          <w:lang w:val="en-GB"/>
        </w:rPr>
        <w:footnoteReference w:id="22"/>
      </w:r>
      <w:r w:rsidR="00E826FF" w:rsidRPr="00F87C1B">
        <w:rPr>
          <w:rFonts w:cs="Times"/>
          <w:lang w:val="en-GB"/>
        </w:rPr>
        <w:t xml:space="preserve">As a consequence, </w:t>
      </w:r>
      <w:r w:rsidR="008D69E7">
        <w:rPr>
          <w:rFonts w:cs="Times"/>
          <w:lang w:val="en-GB"/>
        </w:rPr>
        <w:t xml:space="preserve">the </w:t>
      </w:r>
      <w:r w:rsidR="00E826FF" w:rsidRPr="00F87C1B">
        <w:rPr>
          <w:rFonts w:cs="Times"/>
          <w:lang w:val="en-GB"/>
        </w:rPr>
        <w:t>Croatian asylum system and capacities were not designed</w:t>
      </w:r>
      <w:r w:rsidR="009B7DD6" w:rsidRPr="00F87C1B">
        <w:rPr>
          <w:rFonts w:cs="Times"/>
          <w:lang w:val="en-GB"/>
        </w:rPr>
        <w:t xml:space="preserve"> for</w:t>
      </w:r>
      <w:r w:rsidR="00E826FF" w:rsidRPr="00F87C1B">
        <w:rPr>
          <w:rFonts w:cs="Times"/>
          <w:lang w:val="en-GB"/>
        </w:rPr>
        <w:t xml:space="preserve"> and </w:t>
      </w:r>
      <w:r w:rsidR="008D69E7">
        <w:rPr>
          <w:rFonts w:cs="Times"/>
          <w:lang w:val="en-GB"/>
        </w:rPr>
        <w:t xml:space="preserve">neither was it </w:t>
      </w:r>
      <w:r w:rsidR="00E826FF" w:rsidRPr="00F87C1B">
        <w:rPr>
          <w:rFonts w:cs="Times"/>
          <w:lang w:val="en-GB"/>
        </w:rPr>
        <w:t xml:space="preserve">used to dealing with a more significant number of asylum claims. </w:t>
      </w:r>
      <w:r w:rsidR="006A2BB7" w:rsidRPr="00F87C1B">
        <w:rPr>
          <w:rFonts w:cs="Times"/>
          <w:lang w:val="en-GB"/>
        </w:rPr>
        <w:t>In 2013 Croatia received 1,075 asylum applications, which represented 0</w:t>
      </w:r>
      <w:r w:rsidR="008D69E7">
        <w:rPr>
          <w:rFonts w:cs="Times"/>
          <w:lang w:val="en-GB"/>
        </w:rPr>
        <w:t>.</w:t>
      </w:r>
      <w:r w:rsidR="006A2BB7" w:rsidRPr="00F87C1B">
        <w:rPr>
          <w:rFonts w:cs="Times"/>
          <w:lang w:val="en-GB"/>
        </w:rPr>
        <w:t xml:space="preserve">2% of the EU28 total. The number dropped </w:t>
      </w:r>
      <w:r w:rsidR="008546BE" w:rsidRPr="00F87C1B">
        <w:rPr>
          <w:rFonts w:cs="Times"/>
          <w:lang w:val="en-GB"/>
        </w:rPr>
        <w:t>sharply to 450 applications in 2014, thus representing only 0</w:t>
      </w:r>
      <w:r w:rsidR="008D69E7">
        <w:rPr>
          <w:rFonts w:cs="Times"/>
          <w:lang w:val="en-GB"/>
        </w:rPr>
        <w:t>.</w:t>
      </w:r>
      <w:r w:rsidR="008546BE" w:rsidRPr="00F87C1B">
        <w:rPr>
          <w:rFonts w:cs="Times"/>
          <w:lang w:val="en-GB"/>
        </w:rPr>
        <w:t>1% of the EU28 total.</w:t>
      </w:r>
      <w:r w:rsidR="008546BE" w:rsidRPr="00F87C1B">
        <w:rPr>
          <w:rStyle w:val="FootnoteReference"/>
          <w:rFonts w:cs="Times"/>
          <w:lang w:val="en-GB"/>
        </w:rPr>
        <w:footnoteReference w:id="23"/>
      </w:r>
      <w:r w:rsidR="00ED5E6D" w:rsidRPr="00F87C1B">
        <w:rPr>
          <w:rFonts w:cs="Times"/>
          <w:lang w:val="en-GB"/>
        </w:rPr>
        <w:t xml:space="preserve"> The number further dropped to only 140 first-time asylum applications in 2015</w:t>
      </w:r>
      <w:r w:rsidR="00F202D8" w:rsidRPr="00F87C1B">
        <w:rPr>
          <w:rFonts w:cs="Times"/>
          <w:lang w:val="en-GB"/>
        </w:rPr>
        <w:t xml:space="preserve"> and then rose by a </w:t>
      </w:r>
      <w:r w:rsidR="008D69E7">
        <w:rPr>
          <w:rFonts w:cs="Times"/>
          <w:lang w:val="en-GB"/>
        </w:rPr>
        <w:t xml:space="preserve">staggering </w:t>
      </w:r>
      <w:r w:rsidR="00F202D8" w:rsidRPr="00F87C1B">
        <w:rPr>
          <w:rFonts w:cs="Times"/>
          <w:lang w:val="en-GB"/>
        </w:rPr>
        <w:t>1413% to 2</w:t>
      </w:r>
      <w:r w:rsidR="008D69E7">
        <w:rPr>
          <w:rFonts w:cs="Times"/>
          <w:lang w:val="en-GB"/>
        </w:rPr>
        <w:t>,</w:t>
      </w:r>
      <w:r w:rsidR="00F202D8" w:rsidRPr="00F87C1B">
        <w:rPr>
          <w:rFonts w:cs="Times"/>
          <w:lang w:val="en-GB"/>
        </w:rPr>
        <w:t>150 first-time asylum applications in 2016, thus representing 0</w:t>
      </w:r>
      <w:r w:rsidR="008D69E7">
        <w:rPr>
          <w:rFonts w:cs="Times"/>
          <w:lang w:val="en-GB"/>
        </w:rPr>
        <w:t>.</w:t>
      </w:r>
      <w:r w:rsidR="00F202D8" w:rsidRPr="00F87C1B">
        <w:rPr>
          <w:rFonts w:cs="Times"/>
          <w:lang w:val="en-GB"/>
        </w:rPr>
        <w:t>2% of the EU28 total.</w:t>
      </w:r>
      <w:r w:rsidR="006E60DB" w:rsidRPr="00F87C1B">
        <w:rPr>
          <w:rStyle w:val="FootnoteReference"/>
          <w:rFonts w:cs="Times"/>
          <w:lang w:val="en-GB"/>
        </w:rPr>
        <w:footnoteReference w:id="24"/>
      </w:r>
      <w:r w:rsidR="00F202D8" w:rsidRPr="00F87C1B">
        <w:rPr>
          <w:rFonts w:cs="Times"/>
          <w:lang w:val="en-GB"/>
        </w:rPr>
        <w:t xml:space="preserve"> </w:t>
      </w:r>
      <w:r w:rsidR="009477B1" w:rsidRPr="00F87C1B">
        <w:rPr>
          <w:rFonts w:cs="Times"/>
          <w:lang w:val="en-GB"/>
        </w:rPr>
        <w:t>In relative terms, the increase experienced in Croatia from 2015 to 2016 was the largest increase in the EU28.</w:t>
      </w:r>
      <w:r w:rsidR="00AA24B4" w:rsidRPr="00F87C1B">
        <w:rPr>
          <w:rStyle w:val="FootnoteReference"/>
          <w:rFonts w:cs="Times"/>
          <w:lang w:val="en-GB"/>
        </w:rPr>
        <w:footnoteReference w:id="25"/>
      </w:r>
      <w:r w:rsidR="00B332A3" w:rsidRPr="00F87C1B">
        <w:rPr>
          <w:rFonts w:cs="Times"/>
          <w:lang w:val="en-GB"/>
        </w:rPr>
        <w:t xml:space="preserve"> </w:t>
      </w:r>
    </w:p>
    <w:p w14:paraId="55CA7065" w14:textId="77777777" w:rsidR="005D3EA4" w:rsidRPr="00F87C1B" w:rsidRDefault="005D3EA4" w:rsidP="007010EE">
      <w:pPr>
        <w:jc w:val="both"/>
        <w:rPr>
          <w:rFonts w:cs="Times"/>
          <w:lang w:val="en-GB"/>
        </w:rPr>
      </w:pPr>
    </w:p>
    <w:p w14:paraId="5246C867" w14:textId="77777777" w:rsidR="005D3EA4" w:rsidRPr="00F87C1B" w:rsidRDefault="008D69E7" w:rsidP="007010EE">
      <w:pPr>
        <w:jc w:val="both"/>
        <w:rPr>
          <w:rFonts w:cs="Times"/>
          <w:lang w:val="en-GB"/>
        </w:rPr>
      </w:pPr>
      <w:r>
        <w:rPr>
          <w:rFonts w:cs="Times"/>
          <w:lang w:val="en-GB"/>
        </w:rPr>
        <w:t xml:space="preserve">If </w:t>
      </w:r>
      <w:r w:rsidR="005D3EA4" w:rsidRPr="00F87C1B">
        <w:rPr>
          <w:rFonts w:cs="Times"/>
          <w:lang w:val="en-GB"/>
        </w:rPr>
        <w:t>the EU experiences another huge refugee influx in the future and the EU Member States decide to respect the Dublin state-of-first-entry rule</w:t>
      </w:r>
      <w:r w:rsidR="00CF73A5" w:rsidRPr="00F87C1B">
        <w:rPr>
          <w:rFonts w:cs="Times"/>
          <w:lang w:val="en-GB"/>
        </w:rPr>
        <w:t xml:space="preserve"> (unlike during the 2015/16 refugee influx)</w:t>
      </w:r>
      <w:r w:rsidR="005D3EA4" w:rsidRPr="00F87C1B">
        <w:rPr>
          <w:rFonts w:cs="Times"/>
          <w:lang w:val="en-GB"/>
        </w:rPr>
        <w:t xml:space="preserve">, </w:t>
      </w:r>
      <w:r w:rsidR="00CF73A5" w:rsidRPr="00F87C1B">
        <w:rPr>
          <w:rFonts w:cs="Times"/>
          <w:lang w:val="en-GB"/>
        </w:rPr>
        <w:t xml:space="preserve">Croatia would have to deal with a significantly higher number of asylum claims and applicants. It would, therefore, have to increase its asylum capacities to enable a </w:t>
      </w:r>
      <w:proofErr w:type="gramStart"/>
      <w:r w:rsidR="00CF73A5" w:rsidRPr="00F87C1B">
        <w:rPr>
          <w:rFonts w:cs="Times"/>
          <w:lang w:val="en-GB"/>
        </w:rPr>
        <w:t>human-rights</w:t>
      </w:r>
      <w:proofErr w:type="gramEnd"/>
      <w:r w:rsidR="00CF73A5" w:rsidRPr="00F87C1B">
        <w:rPr>
          <w:rFonts w:cs="Times"/>
          <w:lang w:val="en-GB"/>
        </w:rPr>
        <w:t xml:space="preserve"> compliant and efficient processing of asylum claims. </w:t>
      </w:r>
    </w:p>
    <w:p w14:paraId="0082FEF9" w14:textId="77777777" w:rsidR="004E62C2" w:rsidRPr="00F87C1B" w:rsidRDefault="004E62C2" w:rsidP="007010EE">
      <w:pPr>
        <w:jc w:val="both"/>
        <w:rPr>
          <w:rFonts w:cs="Times"/>
          <w:lang w:val="en-GB"/>
        </w:rPr>
      </w:pPr>
    </w:p>
    <w:p w14:paraId="3C7C4AFB" w14:textId="77777777" w:rsidR="004E62C2" w:rsidRPr="00F87C1B" w:rsidRDefault="004E62C2" w:rsidP="007010EE">
      <w:pPr>
        <w:jc w:val="both"/>
        <w:rPr>
          <w:rFonts w:cs="Times"/>
          <w:lang w:val="en-GB"/>
        </w:rPr>
      </w:pPr>
    </w:p>
    <w:p w14:paraId="075565B1" w14:textId="77777777" w:rsidR="004E62C2" w:rsidRPr="00F87C1B" w:rsidRDefault="004E62C2" w:rsidP="001F49DD">
      <w:pPr>
        <w:ind w:left="284" w:hanging="284"/>
        <w:outlineLvl w:val="0"/>
        <w:rPr>
          <w:b/>
          <w:lang w:val="en-GB"/>
        </w:rPr>
      </w:pPr>
      <w:r w:rsidRPr="00F87C1B">
        <w:rPr>
          <w:b/>
          <w:lang w:val="en-GB"/>
        </w:rPr>
        <w:t>4. Dublin Transfers and the Legali</w:t>
      </w:r>
      <w:r w:rsidR="00DE27D2" w:rsidRPr="00F87C1B">
        <w:rPr>
          <w:b/>
          <w:lang w:val="en-GB"/>
        </w:rPr>
        <w:t xml:space="preserve">ty of the Western Balkans Route </w:t>
      </w:r>
      <w:r w:rsidR="00971235" w:rsidRPr="00F87C1B">
        <w:rPr>
          <w:b/>
          <w:lang w:val="en-GB"/>
        </w:rPr>
        <w:t>– Consequences for Croatia</w:t>
      </w:r>
      <w:r w:rsidR="008D69E7">
        <w:rPr>
          <w:b/>
          <w:lang w:val="en-GB"/>
        </w:rPr>
        <w:t xml:space="preserve"> </w:t>
      </w:r>
    </w:p>
    <w:p w14:paraId="722AE275" w14:textId="77777777" w:rsidR="004E62C2" w:rsidRPr="00F87C1B" w:rsidRDefault="004E62C2" w:rsidP="004E62C2">
      <w:pPr>
        <w:rPr>
          <w:lang w:val="en-GB"/>
        </w:rPr>
      </w:pPr>
    </w:p>
    <w:p w14:paraId="723E9451" w14:textId="77777777" w:rsidR="009230DF" w:rsidRPr="00F87C1B" w:rsidRDefault="009230DF" w:rsidP="009230DF">
      <w:pPr>
        <w:jc w:val="both"/>
        <w:rPr>
          <w:lang w:val="en-GB"/>
        </w:rPr>
      </w:pPr>
      <w:r w:rsidRPr="00F87C1B">
        <w:rPr>
          <w:lang w:val="en-GB"/>
        </w:rPr>
        <w:t xml:space="preserve">This </w:t>
      </w:r>
      <w:r w:rsidR="008D69E7">
        <w:rPr>
          <w:lang w:val="en-GB"/>
        </w:rPr>
        <w:t xml:space="preserve">section </w:t>
      </w:r>
      <w:r w:rsidRPr="00F87C1B">
        <w:rPr>
          <w:lang w:val="en-GB"/>
        </w:rPr>
        <w:t>aim</w:t>
      </w:r>
      <w:r w:rsidR="008D69E7">
        <w:rPr>
          <w:lang w:val="en-GB"/>
        </w:rPr>
        <w:t>s</w:t>
      </w:r>
      <w:r w:rsidRPr="00F87C1B">
        <w:rPr>
          <w:lang w:val="en-GB"/>
        </w:rPr>
        <w:t xml:space="preserve"> to display the discrepancy between the functioning of the Western Balkans route and the Dublin Regulation, and </w:t>
      </w:r>
      <w:r w:rsidR="004F4A44">
        <w:rPr>
          <w:lang w:val="en-GB"/>
        </w:rPr>
        <w:t xml:space="preserve">to </w:t>
      </w:r>
      <w:r w:rsidRPr="00F87C1B">
        <w:rPr>
          <w:lang w:val="en-GB"/>
        </w:rPr>
        <w:t xml:space="preserve">explain its consequences for Croatia.  </w:t>
      </w:r>
      <w:r w:rsidR="00EE15B1" w:rsidRPr="00F87C1B">
        <w:rPr>
          <w:lang w:val="en-GB"/>
        </w:rPr>
        <w:t xml:space="preserve">It </w:t>
      </w:r>
      <w:r w:rsidR="004F4A44">
        <w:rPr>
          <w:lang w:val="en-GB"/>
        </w:rPr>
        <w:t>is</w:t>
      </w:r>
      <w:r w:rsidR="00EE15B1" w:rsidRPr="00F87C1B">
        <w:rPr>
          <w:lang w:val="en-GB"/>
        </w:rPr>
        <w:t xml:space="preserve"> structured into four</w:t>
      </w:r>
      <w:r w:rsidRPr="00F87C1B">
        <w:rPr>
          <w:lang w:val="en-GB"/>
        </w:rPr>
        <w:t xml:space="preserve"> sub</w:t>
      </w:r>
      <w:r w:rsidR="004F4A44">
        <w:rPr>
          <w:lang w:val="en-GB"/>
        </w:rPr>
        <w:t>sections</w:t>
      </w:r>
      <w:r w:rsidRPr="00F87C1B">
        <w:rPr>
          <w:lang w:val="en-GB"/>
        </w:rPr>
        <w:t>. After the introductory sub</w:t>
      </w:r>
      <w:r w:rsidR="004F4A44">
        <w:rPr>
          <w:lang w:val="en-GB"/>
        </w:rPr>
        <w:t>section</w:t>
      </w:r>
      <w:r w:rsidRPr="00F87C1B">
        <w:rPr>
          <w:lang w:val="en-GB"/>
        </w:rPr>
        <w:t>, illustrating the inconsistency between the law and reality, the second sub</w:t>
      </w:r>
      <w:r w:rsidR="004F4A44">
        <w:rPr>
          <w:lang w:val="en-GB"/>
        </w:rPr>
        <w:t>section</w:t>
      </w:r>
      <w:r w:rsidRPr="00F87C1B">
        <w:rPr>
          <w:lang w:val="en-GB"/>
        </w:rPr>
        <w:t xml:space="preserve"> analyse</w:t>
      </w:r>
      <w:r w:rsidR="004F4A44">
        <w:rPr>
          <w:lang w:val="en-GB"/>
        </w:rPr>
        <w:t>s</w:t>
      </w:r>
      <w:r w:rsidRPr="00F87C1B">
        <w:rPr>
          <w:lang w:val="en-GB"/>
        </w:rPr>
        <w:t xml:space="preserve"> the</w:t>
      </w:r>
      <w:r w:rsidR="00A21636" w:rsidRPr="00F87C1B">
        <w:rPr>
          <w:lang w:val="en-GB"/>
        </w:rPr>
        <w:t xml:space="preserve"> position of Greece. The third sub</w:t>
      </w:r>
      <w:r w:rsidR="004F4A44">
        <w:rPr>
          <w:lang w:val="en-GB"/>
        </w:rPr>
        <w:t>section</w:t>
      </w:r>
      <w:r w:rsidR="00281D09" w:rsidRPr="00F87C1B">
        <w:rPr>
          <w:lang w:val="en-GB"/>
        </w:rPr>
        <w:t xml:space="preserve"> </w:t>
      </w:r>
      <w:r w:rsidR="004F4A44">
        <w:rPr>
          <w:lang w:val="en-GB"/>
        </w:rPr>
        <w:t xml:space="preserve">is </w:t>
      </w:r>
      <w:r w:rsidR="00281D09" w:rsidRPr="00F87C1B">
        <w:rPr>
          <w:lang w:val="en-GB"/>
        </w:rPr>
        <w:t>devoted to a summari</w:t>
      </w:r>
      <w:r w:rsidR="004F4A44">
        <w:rPr>
          <w:lang w:val="en-GB"/>
        </w:rPr>
        <w:t>s</w:t>
      </w:r>
      <w:r w:rsidR="00281D09" w:rsidRPr="00F87C1B">
        <w:rPr>
          <w:lang w:val="en-GB"/>
        </w:rPr>
        <w:t>ed account</w:t>
      </w:r>
      <w:r w:rsidR="00A21636" w:rsidRPr="00F87C1B">
        <w:rPr>
          <w:lang w:val="en-GB"/>
        </w:rPr>
        <w:t xml:space="preserve"> of the</w:t>
      </w:r>
      <w:r w:rsidRPr="00F87C1B">
        <w:rPr>
          <w:lang w:val="en-GB"/>
        </w:rPr>
        <w:t xml:space="preserve"> CJEU’s judgements in </w:t>
      </w:r>
      <w:r w:rsidRPr="00F87C1B">
        <w:rPr>
          <w:i/>
          <w:lang w:val="en-GB"/>
        </w:rPr>
        <w:t xml:space="preserve">AS. </w:t>
      </w:r>
      <w:proofErr w:type="gramStart"/>
      <w:r w:rsidRPr="00F87C1B">
        <w:rPr>
          <w:i/>
          <w:lang w:val="en-GB"/>
        </w:rPr>
        <w:t>and</w:t>
      </w:r>
      <w:proofErr w:type="gramEnd"/>
      <w:r w:rsidRPr="00F87C1B">
        <w:rPr>
          <w:i/>
          <w:lang w:val="en-GB"/>
        </w:rPr>
        <w:t xml:space="preserve"> </w:t>
      </w:r>
      <w:proofErr w:type="spellStart"/>
      <w:r w:rsidRPr="00F87C1B">
        <w:rPr>
          <w:i/>
          <w:lang w:val="en-GB"/>
        </w:rPr>
        <w:t>Jafari</w:t>
      </w:r>
      <w:proofErr w:type="spellEnd"/>
      <w:r w:rsidRPr="00F87C1B">
        <w:rPr>
          <w:lang w:val="en-GB"/>
        </w:rPr>
        <w:t xml:space="preserve"> and in </w:t>
      </w:r>
      <w:proofErr w:type="spellStart"/>
      <w:r w:rsidRPr="00F87C1B">
        <w:rPr>
          <w:i/>
          <w:lang w:val="en-GB"/>
        </w:rPr>
        <w:t>Mengesteab</w:t>
      </w:r>
      <w:proofErr w:type="spellEnd"/>
      <w:r w:rsidR="00A21636" w:rsidRPr="00F87C1B">
        <w:rPr>
          <w:lang w:val="en-GB"/>
        </w:rPr>
        <w:t>, while t</w:t>
      </w:r>
      <w:r w:rsidRPr="00F87C1B">
        <w:rPr>
          <w:lang w:val="en-GB"/>
        </w:rPr>
        <w:t>he final sub</w:t>
      </w:r>
      <w:r w:rsidR="004F4A44">
        <w:rPr>
          <w:lang w:val="en-GB"/>
        </w:rPr>
        <w:t>section</w:t>
      </w:r>
      <w:r w:rsidRPr="00F87C1B">
        <w:rPr>
          <w:lang w:val="en-GB"/>
        </w:rPr>
        <w:t xml:space="preserve"> </w:t>
      </w:r>
      <w:r w:rsidR="004F4A44">
        <w:rPr>
          <w:lang w:val="en-GB"/>
        </w:rPr>
        <w:t xml:space="preserve">attempts </w:t>
      </w:r>
      <w:r w:rsidR="00281D09" w:rsidRPr="00F87C1B">
        <w:rPr>
          <w:lang w:val="en-GB"/>
        </w:rPr>
        <w:t xml:space="preserve">to critically assess these judgments and </w:t>
      </w:r>
      <w:r w:rsidR="00971235" w:rsidRPr="00F87C1B">
        <w:rPr>
          <w:lang w:val="en-GB"/>
        </w:rPr>
        <w:t>explain the</w:t>
      </w:r>
      <w:r w:rsidR="00281D09" w:rsidRPr="00F87C1B">
        <w:rPr>
          <w:lang w:val="en-GB"/>
        </w:rPr>
        <w:t>ir</w:t>
      </w:r>
      <w:r w:rsidR="00971235" w:rsidRPr="00F87C1B">
        <w:rPr>
          <w:lang w:val="en-GB"/>
        </w:rPr>
        <w:t xml:space="preserve"> consequences for Croatia and</w:t>
      </w:r>
      <w:r w:rsidR="001045C5" w:rsidRPr="00F87C1B">
        <w:rPr>
          <w:lang w:val="en-GB"/>
        </w:rPr>
        <w:t xml:space="preserve"> for</w:t>
      </w:r>
      <w:r w:rsidR="00971235" w:rsidRPr="00F87C1B">
        <w:rPr>
          <w:lang w:val="en-GB"/>
        </w:rPr>
        <w:t xml:space="preserve"> </w:t>
      </w:r>
      <w:r w:rsidR="004F4A44">
        <w:rPr>
          <w:lang w:val="en-GB"/>
        </w:rPr>
        <w:t xml:space="preserve">the </w:t>
      </w:r>
      <w:r w:rsidR="00971235" w:rsidRPr="00F87C1B">
        <w:rPr>
          <w:lang w:val="en-GB"/>
        </w:rPr>
        <w:t>further development of EU</w:t>
      </w:r>
      <w:r w:rsidR="00281D09" w:rsidRPr="00F87C1B">
        <w:rPr>
          <w:lang w:val="en-GB"/>
        </w:rPr>
        <w:t xml:space="preserve"> asylum</w:t>
      </w:r>
      <w:r w:rsidR="00971235" w:rsidRPr="00F87C1B">
        <w:rPr>
          <w:lang w:val="en-GB"/>
        </w:rPr>
        <w:t xml:space="preserve"> law.</w:t>
      </w:r>
    </w:p>
    <w:p w14:paraId="65CCE454" w14:textId="77777777" w:rsidR="009230DF" w:rsidRPr="00F87C1B" w:rsidRDefault="009230DF" w:rsidP="004E62C2">
      <w:pPr>
        <w:rPr>
          <w:lang w:val="en-GB"/>
        </w:rPr>
      </w:pPr>
    </w:p>
    <w:p w14:paraId="006062EE" w14:textId="77777777" w:rsidR="009230DF" w:rsidRPr="00F87C1B" w:rsidRDefault="009230DF" w:rsidP="004E62C2">
      <w:pPr>
        <w:rPr>
          <w:lang w:val="en-GB"/>
        </w:rPr>
      </w:pPr>
    </w:p>
    <w:p w14:paraId="0CBFF3F8" w14:textId="77777777" w:rsidR="009230DF" w:rsidRPr="00F87C1B" w:rsidRDefault="009230DF" w:rsidP="001F49DD">
      <w:pPr>
        <w:outlineLvl w:val="0"/>
        <w:rPr>
          <w:b/>
          <w:lang w:val="en-GB"/>
        </w:rPr>
      </w:pPr>
      <w:r w:rsidRPr="00F87C1B">
        <w:rPr>
          <w:b/>
          <w:lang w:val="en-GB"/>
        </w:rPr>
        <w:t>4.1. The</w:t>
      </w:r>
      <w:r w:rsidR="00971235" w:rsidRPr="00F87C1B">
        <w:rPr>
          <w:b/>
          <w:lang w:val="en-GB"/>
        </w:rPr>
        <w:t xml:space="preserve"> Western Balkans Route -</w:t>
      </w:r>
      <w:r w:rsidRPr="00F87C1B">
        <w:rPr>
          <w:b/>
          <w:lang w:val="en-GB"/>
        </w:rPr>
        <w:t xml:space="preserve"> Where Law and Reality Diverge</w:t>
      </w:r>
    </w:p>
    <w:p w14:paraId="3AFF2AB7" w14:textId="77777777" w:rsidR="009230DF" w:rsidRPr="00F87C1B" w:rsidRDefault="009230DF" w:rsidP="004E62C2">
      <w:pPr>
        <w:rPr>
          <w:lang w:val="en-GB"/>
        </w:rPr>
      </w:pPr>
    </w:p>
    <w:p w14:paraId="6A168A7B" w14:textId="77777777" w:rsidR="009C2FA5" w:rsidRPr="00F87C1B" w:rsidRDefault="00DB3913" w:rsidP="00871F1C">
      <w:pPr>
        <w:jc w:val="both"/>
        <w:rPr>
          <w:lang w:val="en-GB"/>
        </w:rPr>
      </w:pPr>
      <w:r w:rsidRPr="00F87C1B">
        <w:rPr>
          <w:rFonts w:cs="Times"/>
          <w:lang w:val="en-GB"/>
        </w:rPr>
        <w:t xml:space="preserve">The functioning of the Western Balkans route represents a clear departure from the Dublin </w:t>
      </w:r>
      <w:r w:rsidR="00871F1C" w:rsidRPr="00F87C1B">
        <w:rPr>
          <w:rFonts w:cs="Times"/>
          <w:lang w:val="en-GB"/>
        </w:rPr>
        <w:t>state-of-first-entry rule</w:t>
      </w:r>
      <w:r w:rsidRPr="00F87C1B">
        <w:rPr>
          <w:rFonts w:cs="Times"/>
          <w:lang w:val="en-GB"/>
        </w:rPr>
        <w:t xml:space="preserve">. </w:t>
      </w:r>
      <w:r w:rsidR="00871F1C" w:rsidRPr="00F87C1B">
        <w:rPr>
          <w:lang w:val="en-GB"/>
        </w:rPr>
        <w:t xml:space="preserve">Art. 13(1) of the Dublin Regulation stipulates that the Member State responsible for examining an asylum application is the state whose border the asylum applicant first crossed irregularly when coming </w:t>
      </w:r>
      <w:r w:rsidR="00871F1C" w:rsidRPr="00F87C1B">
        <w:rPr>
          <w:lang w:val="en-GB"/>
        </w:rPr>
        <w:lastRenderedPageBreak/>
        <w:t>from a third country.</w:t>
      </w:r>
      <w:r w:rsidR="00B6605C" w:rsidRPr="00F87C1B">
        <w:rPr>
          <w:lang w:val="en-GB"/>
        </w:rPr>
        <w:t xml:space="preserve"> </w:t>
      </w:r>
      <w:r w:rsidR="004F4A44">
        <w:rPr>
          <w:lang w:val="en-GB"/>
        </w:rPr>
        <w:t xml:space="preserve">If </w:t>
      </w:r>
      <w:r w:rsidR="00305639" w:rsidRPr="00F87C1B">
        <w:rPr>
          <w:lang w:val="en-GB"/>
        </w:rPr>
        <w:t xml:space="preserve">asylum rules do not apply to a third-country national, </w:t>
      </w:r>
      <w:proofErr w:type="gramStart"/>
      <w:r w:rsidR="004F4A44">
        <w:rPr>
          <w:lang w:val="en-GB"/>
        </w:rPr>
        <w:t xml:space="preserve">the </w:t>
      </w:r>
      <w:r w:rsidR="00305639" w:rsidRPr="00F87C1B">
        <w:rPr>
          <w:lang w:val="en-GB"/>
        </w:rPr>
        <w:t>entry conditions of a third-country national to the territory of a Memb</w:t>
      </w:r>
      <w:r w:rsidR="009C2FA5" w:rsidRPr="00F87C1B">
        <w:rPr>
          <w:lang w:val="en-GB"/>
        </w:rPr>
        <w:t>er State are regulated by Art</w:t>
      </w:r>
      <w:proofErr w:type="gramEnd"/>
      <w:r w:rsidR="009C2FA5" w:rsidRPr="00F87C1B">
        <w:rPr>
          <w:lang w:val="en-GB"/>
        </w:rPr>
        <w:t>. 6(1)</w:t>
      </w:r>
      <w:r w:rsidR="00305639" w:rsidRPr="00F87C1B">
        <w:rPr>
          <w:lang w:val="en-GB"/>
        </w:rPr>
        <w:t xml:space="preserve"> of the Schengen B</w:t>
      </w:r>
      <w:r w:rsidR="009C2FA5" w:rsidRPr="00F87C1B">
        <w:rPr>
          <w:lang w:val="en-GB"/>
        </w:rPr>
        <w:t xml:space="preserve">orders </w:t>
      </w:r>
      <w:proofErr w:type="gramStart"/>
      <w:r w:rsidR="009C2FA5" w:rsidRPr="00F87C1B">
        <w:rPr>
          <w:lang w:val="en-GB"/>
        </w:rPr>
        <w:t>Code which</w:t>
      </w:r>
      <w:proofErr w:type="gramEnd"/>
      <w:r w:rsidR="00305639" w:rsidRPr="00F87C1B">
        <w:rPr>
          <w:lang w:val="en-GB"/>
        </w:rPr>
        <w:t xml:space="preserve"> stipulates that the third-country national has </w:t>
      </w:r>
      <w:r w:rsidR="009C2FA5" w:rsidRPr="00F87C1B">
        <w:rPr>
          <w:lang w:val="en-GB"/>
        </w:rPr>
        <w:t xml:space="preserve">to have a valid travel document and a valid visa. </w:t>
      </w:r>
      <w:r w:rsidR="004F4A44">
        <w:rPr>
          <w:lang w:val="en-GB"/>
        </w:rPr>
        <w:t>T</w:t>
      </w:r>
      <w:r w:rsidR="009C2FA5" w:rsidRPr="00F87C1B">
        <w:rPr>
          <w:lang w:val="en-GB"/>
        </w:rPr>
        <w:t>hird-country national</w:t>
      </w:r>
      <w:r w:rsidR="004F4A44">
        <w:rPr>
          <w:lang w:val="en-GB"/>
        </w:rPr>
        <w:t>s</w:t>
      </w:r>
      <w:r w:rsidR="009C2FA5" w:rsidRPr="00F87C1B">
        <w:rPr>
          <w:lang w:val="en-GB"/>
        </w:rPr>
        <w:t xml:space="preserve"> should </w:t>
      </w:r>
      <w:r w:rsidR="004F4A44">
        <w:rPr>
          <w:lang w:val="en-GB"/>
        </w:rPr>
        <w:t xml:space="preserve">also </w:t>
      </w:r>
      <w:r w:rsidR="009C2FA5" w:rsidRPr="00F87C1B">
        <w:rPr>
          <w:lang w:val="en-GB"/>
        </w:rPr>
        <w:t xml:space="preserve">be able to justify the purpose and conditions of their intended stay and show that they have sufficient means of subsistence, both for the </w:t>
      </w:r>
      <w:r w:rsidR="004F4A44">
        <w:rPr>
          <w:lang w:val="en-GB"/>
        </w:rPr>
        <w:t>d</w:t>
      </w:r>
      <w:r w:rsidR="009C2FA5" w:rsidRPr="00F87C1B">
        <w:rPr>
          <w:lang w:val="en-GB"/>
        </w:rPr>
        <w:t>uration of the intended stay and for the return journey.</w:t>
      </w:r>
      <w:r w:rsidR="009C2FA5" w:rsidRPr="00F87C1B">
        <w:rPr>
          <w:rStyle w:val="FootnoteReference"/>
          <w:lang w:val="en-GB"/>
        </w:rPr>
        <w:footnoteReference w:id="26"/>
      </w:r>
      <w:r w:rsidR="004A01B0" w:rsidRPr="00F87C1B">
        <w:rPr>
          <w:lang w:val="en-GB"/>
        </w:rPr>
        <w:t xml:space="preserve"> </w:t>
      </w:r>
      <w:r w:rsidR="001A1C8E" w:rsidRPr="00F87C1B">
        <w:rPr>
          <w:lang w:val="en-GB"/>
        </w:rPr>
        <w:t xml:space="preserve">Exceptionally, a third-country </w:t>
      </w:r>
      <w:r w:rsidR="004F4A44">
        <w:rPr>
          <w:lang w:val="en-GB"/>
        </w:rPr>
        <w:t xml:space="preserve">national </w:t>
      </w:r>
      <w:r w:rsidR="001A1C8E" w:rsidRPr="00F87C1B">
        <w:rPr>
          <w:lang w:val="en-GB"/>
        </w:rPr>
        <w:t xml:space="preserve">who does not fulfil one or more of the above conditions may be granted entry on humanitarian grounds, on grounds of national interest or because of international obligations. However, as will be shown in the analysis of the CJEU’s judgment in </w:t>
      </w:r>
      <w:r w:rsidR="001A1C8E" w:rsidRPr="00F87C1B">
        <w:rPr>
          <w:i/>
          <w:lang w:val="en-GB"/>
        </w:rPr>
        <w:t xml:space="preserve">A.S. </w:t>
      </w:r>
      <w:r w:rsidR="001A1C8E" w:rsidRPr="00255886">
        <w:rPr>
          <w:lang w:val="en-GB"/>
        </w:rPr>
        <w:t>and</w:t>
      </w:r>
      <w:r w:rsidR="001A1C8E" w:rsidRPr="00F87C1B">
        <w:rPr>
          <w:i/>
          <w:lang w:val="en-GB"/>
        </w:rPr>
        <w:t xml:space="preserve"> </w:t>
      </w:r>
      <w:proofErr w:type="spellStart"/>
      <w:r w:rsidR="001A1C8E" w:rsidRPr="00F87C1B">
        <w:rPr>
          <w:i/>
          <w:lang w:val="en-GB"/>
        </w:rPr>
        <w:t>Jafari</w:t>
      </w:r>
      <w:proofErr w:type="spellEnd"/>
      <w:r w:rsidR="00717B44" w:rsidRPr="00F87C1B">
        <w:rPr>
          <w:lang w:val="en-GB"/>
        </w:rPr>
        <w:t>, the</w:t>
      </w:r>
      <w:r w:rsidR="001A1C8E" w:rsidRPr="00F87C1B">
        <w:rPr>
          <w:lang w:val="en-GB"/>
        </w:rPr>
        <w:t xml:space="preserve"> exception</w:t>
      </w:r>
      <w:r w:rsidR="00717B44" w:rsidRPr="00F87C1B">
        <w:rPr>
          <w:lang w:val="en-GB"/>
        </w:rPr>
        <w:t xml:space="preserve"> based on humanitarian grounds</w:t>
      </w:r>
      <w:r w:rsidR="000A3EE7">
        <w:rPr>
          <w:lang w:val="en-GB"/>
        </w:rPr>
        <w:t xml:space="preserve"> was not applicable</w:t>
      </w:r>
      <w:r w:rsidR="001A1C8E" w:rsidRPr="00F87C1B">
        <w:rPr>
          <w:lang w:val="en-GB"/>
        </w:rPr>
        <w:t xml:space="preserve"> to the developments on the Western Balkans route.</w:t>
      </w:r>
      <w:r w:rsidR="001A1C8E" w:rsidRPr="00F87C1B">
        <w:rPr>
          <w:rStyle w:val="FootnoteReference"/>
          <w:lang w:val="en-GB"/>
        </w:rPr>
        <w:footnoteReference w:id="27"/>
      </w:r>
    </w:p>
    <w:p w14:paraId="7DCB83B2" w14:textId="77777777" w:rsidR="004A01B0" w:rsidRPr="00F87C1B" w:rsidRDefault="004A01B0" w:rsidP="00871F1C">
      <w:pPr>
        <w:jc w:val="both"/>
        <w:rPr>
          <w:lang w:val="en-GB"/>
        </w:rPr>
      </w:pPr>
    </w:p>
    <w:p w14:paraId="03883CE7" w14:textId="77777777" w:rsidR="00697779" w:rsidRPr="00F87C1B" w:rsidRDefault="00534A35" w:rsidP="00302773">
      <w:pPr>
        <w:jc w:val="both"/>
        <w:rPr>
          <w:lang w:val="en-GB"/>
        </w:rPr>
      </w:pPr>
      <w:r w:rsidRPr="00F87C1B">
        <w:rPr>
          <w:lang w:val="en-GB"/>
        </w:rPr>
        <w:t>T</w:t>
      </w:r>
      <w:r w:rsidR="004A01B0" w:rsidRPr="00F87C1B">
        <w:rPr>
          <w:lang w:val="en-GB"/>
        </w:rPr>
        <w:t xml:space="preserve">he migrants </w:t>
      </w:r>
      <w:r w:rsidR="00C51C7B" w:rsidRPr="00F87C1B">
        <w:rPr>
          <w:lang w:val="en-GB"/>
        </w:rPr>
        <w:t>on</w:t>
      </w:r>
      <w:r w:rsidR="004A01B0" w:rsidRPr="00F87C1B">
        <w:rPr>
          <w:lang w:val="en-GB"/>
        </w:rPr>
        <w:t xml:space="preserve"> the Western Balkans route were not applying for asylum </w:t>
      </w:r>
      <w:r w:rsidR="00480FCD" w:rsidRPr="00F87C1B">
        <w:rPr>
          <w:lang w:val="en-GB"/>
        </w:rPr>
        <w:t xml:space="preserve">either </w:t>
      </w:r>
      <w:r w:rsidR="004A01B0" w:rsidRPr="00F87C1B">
        <w:rPr>
          <w:lang w:val="en-GB"/>
        </w:rPr>
        <w:t xml:space="preserve">in the </w:t>
      </w:r>
      <w:r w:rsidR="00C51C7B" w:rsidRPr="00F87C1B">
        <w:rPr>
          <w:lang w:val="en-GB"/>
        </w:rPr>
        <w:t xml:space="preserve">EU </w:t>
      </w:r>
      <w:r w:rsidR="004A01B0" w:rsidRPr="00F87C1B">
        <w:rPr>
          <w:lang w:val="en-GB"/>
        </w:rPr>
        <w:t>state of their first entry</w:t>
      </w:r>
      <w:r w:rsidR="00480FCD" w:rsidRPr="00F87C1B">
        <w:rPr>
          <w:lang w:val="en-GB"/>
        </w:rPr>
        <w:t xml:space="preserve"> (Greece) or in the Western Balkans countries, among them Croatia as the second EU Member State on the Western Balkans route. Instead, they </w:t>
      </w:r>
      <w:r w:rsidR="00480FCD" w:rsidRPr="00F87C1B">
        <w:rPr>
          <w:rFonts w:cs="Times"/>
          <w:lang w:val="en-GB"/>
        </w:rPr>
        <w:t xml:space="preserve">were transiting through several EU and non-EU states until they came to the EU Member State of their desired destination (mostly Germany) and applied for asylum there. </w:t>
      </w:r>
      <w:r w:rsidR="00697779" w:rsidRPr="00F87C1B">
        <w:rPr>
          <w:rFonts w:cs="Times"/>
          <w:lang w:val="en-GB"/>
        </w:rPr>
        <w:t>O</w:t>
      </w:r>
      <w:r w:rsidR="00302773" w:rsidRPr="00F87C1B">
        <w:rPr>
          <w:lang w:val="en-GB"/>
        </w:rPr>
        <w:t>n the other hand,</w:t>
      </w:r>
      <w:r w:rsidR="00697779" w:rsidRPr="00F87C1B">
        <w:rPr>
          <w:lang w:val="en-GB"/>
        </w:rPr>
        <w:t xml:space="preserve"> Greece, Croatia and other countries on the Western Balkans route</w:t>
      </w:r>
      <w:r w:rsidR="00302773" w:rsidRPr="00F87C1B">
        <w:rPr>
          <w:lang w:val="en-GB"/>
        </w:rPr>
        <w:t xml:space="preserve"> did not</w:t>
      </w:r>
      <w:r w:rsidR="00480FCD" w:rsidRPr="00F87C1B">
        <w:rPr>
          <w:lang w:val="en-GB"/>
        </w:rPr>
        <w:t xml:space="preserve"> apply the Schenge</w:t>
      </w:r>
      <w:r w:rsidR="00DF3237" w:rsidRPr="00F87C1B">
        <w:rPr>
          <w:lang w:val="en-GB"/>
        </w:rPr>
        <w:t>n</w:t>
      </w:r>
      <w:r w:rsidR="00480FCD" w:rsidRPr="00F87C1B">
        <w:rPr>
          <w:lang w:val="en-GB"/>
        </w:rPr>
        <w:t xml:space="preserve"> Borders Code and, thus,</w:t>
      </w:r>
      <w:r w:rsidRPr="00F87C1B">
        <w:rPr>
          <w:lang w:val="en-GB"/>
        </w:rPr>
        <w:t xml:space="preserve"> they did not</w:t>
      </w:r>
      <w:r w:rsidR="00302773" w:rsidRPr="00F87C1B">
        <w:rPr>
          <w:lang w:val="en-GB"/>
        </w:rPr>
        <w:t xml:space="preserve"> </w:t>
      </w:r>
      <w:r w:rsidR="00B6605C" w:rsidRPr="00F87C1B">
        <w:rPr>
          <w:lang w:val="en-GB"/>
        </w:rPr>
        <w:t>prevent the</w:t>
      </w:r>
      <w:r w:rsidR="00302773" w:rsidRPr="00F87C1B">
        <w:rPr>
          <w:lang w:val="en-GB"/>
        </w:rPr>
        <w:t xml:space="preserve"> entry</w:t>
      </w:r>
      <w:r w:rsidR="00B6605C" w:rsidRPr="00F87C1B">
        <w:rPr>
          <w:lang w:val="en-GB"/>
        </w:rPr>
        <w:t xml:space="preserve"> of irregular migrants</w:t>
      </w:r>
      <w:r w:rsidR="00302773" w:rsidRPr="00F87C1B">
        <w:rPr>
          <w:lang w:val="en-GB"/>
        </w:rPr>
        <w:t xml:space="preserve"> into their respective territories</w:t>
      </w:r>
      <w:r w:rsidR="00697779" w:rsidRPr="00F87C1B">
        <w:rPr>
          <w:lang w:val="en-GB"/>
        </w:rPr>
        <w:t xml:space="preserve">, but </w:t>
      </w:r>
      <w:r w:rsidR="00B6605C" w:rsidRPr="00F87C1B">
        <w:rPr>
          <w:lang w:val="en-GB"/>
        </w:rPr>
        <w:t>facilitated their further movement to other states along the route</w:t>
      </w:r>
      <w:r w:rsidR="00302773" w:rsidRPr="00F87C1B">
        <w:rPr>
          <w:lang w:val="en-GB"/>
        </w:rPr>
        <w:t xml:space="preserve">. </w:t>
      </w:r>
      <w:r w:rsidR="00697779" w:rsidRPr="00F87C1B">
        <w:rPr>
          <w:lang w:val="en-GB"/>
        </w:rPr>
        <w:t>The transit of migrants on the Western Balkans route was organi</w:t>
      </w:r>
      <w:r w:rsidR="004F4A44">
        <w:rPr>
          <w:lang w:val="en-GB"/>
        </w:rPr>
        <w:t>s</w:t>
      </w:r>
      <w:r w:rsidR="00697779" w:rsidRPr="00F87C1B">
        <w:rPr>
          <w:lang w:val="en-GB"/>
        </w:rPr>
        <w:t>ed by the states along the route</w:t>
      </w:r>
      <w:r w:rsidR="00480FCD" w:rsidRPr="00F87C1B">
        <w:rPr>
          <w:lang w:val="en-GB"/>
        </w:rPr>
        <w:t>,</w:t>
      </w:r>
      <w:r w:rsidR="00697779" w:rsidRPr="00F87C1B">
        <w:rPr>
          <w:lang w:val="en-GB"/>
        </w:rPr>
        <w:t xml:space="preserve"> </w:t>
      </w:r>
      <w:r w:rsidR="00DF3237" w:rsidRPr="00F87C1B">
        <w:rPr>
          <w:lang w:val="en-GB"/>
        </w:rPr>
        <w:t>which</w:t>
      </w:r>
      <w:r w:rsidR="00697779" w:rsidRPr="00F87C1B">
        <w:rPr>
          <w:lang w:val="en-GB"/>
        </w:rPr>
        <w:t xml:space="preserve"> sometimes (allegedly)</w:t>
      </w:r>
      <w:r w:rsidR="00480FCD" w:rsidRPr="00F87C1B">
        <w:rPr>
          <w:lang w:val="en-GB"/>
        </w:rPr>
        <w:t xml:space="preserve">, contrary to the </w:t>
      </w:r>
      <w:proofErr w:type="spellStart"/>
      <w:r w:rsidR="00480FCD" w:rsidRPr="00F87C1B">
        <w:rPr>
          <w:lang w:val="en-GB"/>
        </w:rPr>
        <w:t>Eurodac</w:t>
      </w:r>
      <w:proofErr w:type="spellEnd"/>
      <w:r w:rsidR="00480FCD" w:rsidRPr="00F87C1B">
        <w:rPr>
          <w:lang w:val="en-GB"/>
        </w:rPr>
        <w:t xml:space="preserve"> Regulation,</w:t>
      </w:r>
      <w:r w:rsidR="00697779" w:rsidRPr="00F87C1B">
        <w:rPr>
          <w:lang w:val="en-GB"/>
        </w:rPr>
        <w:t xml:space="preserve"> did not fingerprint and register </w:t>
      </w:r>
      <w:r w:rsidR="004C0130" w:rsidRPr="00F87C1B">
        <w:rPr>
          <w:lang w:val="en-GB"/>
        </w:rPr>
        <w:t>the migrants before</w:t>
      </w:r>
      <w:r w:rsidR="00697779" w:rsidRPr="00F87C1B">
        <w:rPr>
          <w:lang w:val="en-GB"/>
        </w:rPr>
        <w:t xml:space="preserve"> </w:t>
      </w:r>
      <w:r w:rsidR="006A4461" w:rsidRPr="00F87C1B">
        <w:rPr>
          <w:lang w:val="en-GB"/>
        </w:rPr>
        <w:t>further transit</w:t>
      </w:r>
      <w:r w:rsidR="004C0130" w:rsidRPr="00F87C1B">
        <w:rPr>
          <w:lang w:val="en-GB"/>
        </w:rPr>
        <w:t>.</w:t>
      </w:r>
    </w:p>
    <w:p w14:paraId="1C951980" w14:textId="77777777" w:rsidR="00697779" w:rsidRPr="00F87C1B" w:rsidRDefault="00697779" w:rsidP="00302773">
      <w:pPr>
        <w:jc w:val="both"/>
        <w:rPr>
          <w:lang w:val="en-GB"/>
        </w:rPr>
      </w:pPr>
    </w:p>
    <w:p w14:paraId="1F000417" w14:textId="77777777" w:rsidR="00874F19" w:rsidRPr="00F87C1B" w:rsidRDefault="00302773" w:rsidP="00302773">
      <w:pPr>
        <w:jc w:val="both"/>
        <w:rPr>
          <w:lang w:val="en-GB"/>
        </w:rPr>
      </w:pPr>
      <w:r w:rsidRPr="00F87C1B">
        <w:rPr>
          <w:lang w:val="en-GB"/>
        </w:rPr>
        <w:t xml:space="preserve">Clearly, there was a tacit agreement between the Western Balkans states </w:t>
      </w:r>
      <w:r w:rsidR="00C86214" w:rsidRPr="00F87C1B">
        <w:rPr>
          <w:lang w:val="en-GB"/>
        </w:rPr>
        <w:t>and the migrants transiting the</w:t>
      </w:r>
      <w:r w:rsidRPr="00F87C1B">
        <w:rPr>
          <w:lang w:val="en-GB"/>
        </w:rPr>
        <w:t xml:space="preserve"> route not to apply the Dublin rules. </w:t>
      </w:r>
      <w:r w:rsidR="00871F1C" w:rsidRPr="00F87C1B">
        <w:rPr>
          <w:lang w:val="en-GB"/>
        </w:rPr>
        <w:t>Further</w:t>
      </w:r>
      <w:r w:rsidRPr="00F87C1B">
        <w:rPr>
          <w:lang w:val="en-GB"/>
        </w:rPr>
        <w:t xml:space="preserve">, </w:t>
      </w:r>
      <w:r w:rsidR="006276B3" w:rsidRPr="00F87C1B">
        <w:rPr>
          <w:lang w:val="en-GB"/>
        </w:rPr>
        <w:t>there was an agreement among</w:t>
      </w:r>
      <w:r w:rsidRPr="00F87C1B">
        <w:rPr>
          <w:lang w:val="en-GB"/>
        </w:rPr>
        <w:t xml:space="preserve"> the states on the Western Balkans route to organi</w:t>
      </w:r>
      <w:r w:rsidR="00C70D58">
        <w:rPr>
          <w:lang w:val="en-GB"/>
        </w:rPr>
        <w:t>s</w:t>
      </w:r>
      <w:r w:rsidRPr="00F87C1B">
        <w:rPr>
          <w:lang w:val="en-GB"/>
        </w:rPr>
        <w:t>e and run the route contrary to the Dublin rules</w:t>
      </w:r>
      <w:r w:rsidR="00871F1C" w:rsidRPr="00F87C1B">
        <w:rPr>
          <w:lang w:val="en-GB"/>
        </w:rPr>
        <w:t>.</w:t>
      </w:r>
      <w:r w:rsidRPr="00F87C1B">
        <w:rPr>
          <w:lang w:val="en-GB"/>
        </w:rPr>
        <w:t xml:space="preserve"> </w:t>
      </w:r>
      <w:r w:rsidR="00871F1C" w:rsidRPr="00F87C1B">
        <w:rPr>
          <w:lang w:val="en-GB"/>
        </w:rPr>
        <w:t>This</w:t>
      </w:r>
      <w:r w:rsidRPr="00F87C1B">
        <w:rPr>
          <w:lang w:val="en-GB"/>
        </w:rPr>
        <w:t xml:space="preserve"> was the direct consequence of</w:t>
      </w:r>
      <w:r w:rsidR="00DA434B" w:rsidRPr="00F87C1B">
        <w:rPr>
          <w:lang w:val="en-GB"/>
        </w:rPr>
        <w:t xml:space="preserve"> two factors. F</w:t>
      </w:r>
      <w:r w:rsidR="00874F19" w:rsidRPr="00F87C1B">
        <w:rPr>
          <w:lang w:val="en-GB"/>
        </w:rPr>
        <w:t>irst,</w:t>
      </w:r>
      <w:r w:rsidRPr="00F87C1B">
        <w:rPr>
          <w:lang w:val="en-GB"/>
        </w:rPr>
        <w:t xml:space="preserve"> </w:t>
      </w:r>
      <w:r w:rsidR="00DA434B" w:rsidRPr="00F87C1B">
        <w:rPr>
          <w:lang w:val="en-GB"/>
        </w:rPr>
        <w:t xml:space="preserve">it was </w:t>
      </w:r>
      <w:r w:rsidR="00C70D58">
        <w:rPr>
          <w:lang w:val="en-GB"/>
        </w:rPr>
        <w:t xml:space="preserve">prompted </w:t>
      </w:r>
      <w:r w:rsidR="00DA434B" w:rsidRPr="00F87C1B">
        <w:rPr>
          <w:lang w:val="en-GB"/>
        </w:rPr>
        <w:t xml:space="preserve">by </w:t>
      </w:r>
      <w:r w:rsidRPr="00F87C1B">
        <w:rPr>
          <w:lang w:val="en-GB"/>
        </w:rPr>
        <w:t xml:space="preserve">the German </w:t>
      </w:r>
      <w:r w:rsidR="00871F1C" w:rsidRPr="00F87C1B">
        <w:rPr>
          <w:lang w:val="en-GB"/>
        </w:rPr>
        <w:t>willingness</w:t>
      </w:r>
      <w:r w:rsidRPr="00F87C1B">
        <w:rPr>
          <w:lang w:val="en-GB"/>
        </w:rPr>
        <w:t xml:space="preserve"> to take all the migrants and exam</w:t>
      </w:r>
      <w:r w:rsidR="00874F19" w:rsidRPr="00F87C1B">
        <w:rPr>
          <w:lang w:val="en-GB"/>
        </w:rPr>
        <w:t>in</w:t>
      </w:r>
      <w:r w:rsidR="00DA434B" w:rsidRPr="00F87C1B">
        <w:rPr>
          <w:lang w:val="en-GB"/>
        </w:rPr>
        <w:t xml:space="preserve">e their asylum claims itself. </w:t>
      </w:r>
      <w:r w:rsidR="00DF3237" w:rsidRPr="00F87C1B">
        <w:rPr>
          <w:lang w:val="en-GB"/>
        </w:rPr>
        <w:t xml:space="preserve">The states on the route were allowing entry and transit of migrants as long as Germany was ready to accept them on its territory. </w:t>
      </w:r>
      <w:r w:rsidR="00DA434B" w:rsidRPr="00F87C1B">
        <w:rPr>
          <w:lang w:val="en-GB"/>
        </w:rPr>
        <w:t>S</w:t>
      </w:r>
      <w:r w:rsidR="00874F19" w:rsidRPr="00F87C1B">
        <w:rPr>
          <w:lang w:val="en-GB"/>
        </w:rPr>
        <w:t xml:space="preserve">econd, </w:t>
      </w:r>
      <w:r w:rsidR="00DA434B" w:rsidRPr="00F87C1B">
        <w:rPr>
          <w:lang w:val="en-GB"/>
        </w:rPr>
        <w:t>the</w:t>
      </w:r>
      <w:r w:rsidR="00DF3237" w:rsidRPr="00F87C1B">
        <w:rPr>
          <w:lang w:val="en-GB"/>
        </w:rPr>
        <w:t xml:space="preserve"> Western Balkans route was </w:t>
      </w:r>
      <w:r w:rsidR="00DA434B" w:rsidRPr="00F87C1B">
        <w:rPr>
          <w:lang w:val="en-GB"/>
        </w:rPr>
        <w:t>the direct consequence of the states’ reali</w:t>
      </w:r>
      <w:r w:rsidR="00C70D58">
        <w:rPr>
          <w:lang w:val="en-GB"/>
        </w:rPr>
        <w:t>s</w:t>
      </w:r>
      <w:r w:rsidR="00DA434B" w:rsidRPr="00F87C1B">
        <w:rPr>
          <w:lang w:val="en-GB"/>
        </w:rPr>
        <w:t xml:space="preserve">ation </w:t>
      </w:r>
      <w:r w:rsidR="00874F19" w:rsidRPr="00F87C1B">
        <w:rPr>
          <w:lang w:val="en-GB"/>
        </w:rPr>
        <w:t xml:space="preserve">that the alternative to not allowing migrants’ entry into their respective territories would have </w:t>
      </w:r>
      <w:r w:rsidR="00C70D58">
        <w:rPr>
          <w:lang w:val="en-GB"/>
        </w:rPr>
        <w:t>been to leave</w:t>
      </w:r>
      <w:r w:rsidR="00874F19" w:rsidRPr="00F87C1B">
        <w:rPr>
          <w:lang w:val="en-GB"/>
        </w:rPr>
        <w:t xml:space="preserve"> hundreds of thousands of migrants stranded</w:t>
      </w:r>
      <w:r w:rsidR="00DA434B" w:rsidRPr="00F87C1B">
        <w:rPr>
          <w:lang w:val="en-GB"/>
        </w:rPr>
        <w:t xml:space="preserve"> at national borders in degrading conditions</w:t>
      </w:r>
      <w:r w:rsidR="00CB1315" w:rsidRPr="00F87C1B">
        <w:rPr>
          <w:lang w:val="en-GB"/>
        </w:rPr>
        <w:t xml:space="preserve"> </w:t>
      </w:r>
      <w:r w:rsidR="00C70D58">
        <w:rPr>
          <w:lang w:val="en-GB"/>
        </w:rPr>
        <w:t xml:space="preserve">which </w:t>
      </w:r>
      <w:r w:rsidR="00CB1315" w:rsidRPr="00F87C1B">
        <w:rPr>
          <w:lang w:val="en-GB"/>
        </w:rPr>
        <w:t xml:space="preserve">would have led to </w:t>
      </w:r>
      <w:r w:rsidR="00DA434B" w:rsidRPr="00F87C1B">
        <w:rPr>
          <w:lang w:val="en-GB"/>
        </w:rPr>
        <w:t xml:space="preserve">a humanitarian catastrophe and </w:t>
      </w:r>
      <w:r w:rsidR="00B15EA8">
        <w:rPr>
          <w:lang w:val="en-GB"/>
        </w:rPr>
        <w:t xml:space="preserve">to </w:t>
      </w:r>
      <w:r w:rsidR="00DA434B" w:rsidRPr="00F87C1B">
        <w:rPr>
          <w:lang w:val="en-GB"/>
        </w:rPr>
        <w:t>the respective states’</w:t>
      </w:r>
      <w:r w:rsidR="00DF3237" w:rsidRPr="00F87C1B">
        <w:rPr>
          <w:lang w:val="en-GB"/>
        </w:rPr>
        <w:t xml:space="preserve"> </w:t>
      </w:r>
      <w:r w:rsidR="00CB1315" w:rsidRPr="00F87C1B">
        <w:rPr>
          <w:lang w:val="en-GB"/>
        </w:rPr>
        <w:t xml:space="preserve">breach of </w:t>
      </w:r>
      <w:r w:rsidR="00DA434B" w:rsidRPr="00F87C1B">
        <w:rPr>
          <w:lang w:val="en-GB"/>
        </w:rPr>
        <w:t xml:space="preserve">Art. </w:t>
      </w:r>
      <w:proofErr w:type="gramStart"/>
      <w:r w:rsidR="00DA434B" w:rsidRPr="00F87C1B">
        <w:rPr>
          <w:lang w:val="en-GB"/>
        </w:rPr>
        <w:t>3 of the ECHR and Art.</w:t>
      </w:r>
      <w:proofErr w:type="gramEnd"/>
      <w:r w:rsidR="00DA434B" w:rsidRPr="00F87C1B">
        <w:rPr>
          <w:lang w:val="en-GB"/>
        </w:rPr>
        <w:t xml:space="preserve"> </w:t>
      </w:r>
      <w:proofErr w:type="gramStart"/>
      <w:r w:rsidR="00DA434B" w:rsidRPr="00F87C1B">
        <w:rPr>
          <w:lang w:val="en-GB"/>
        </w:rPr>
        <w:t>4 of the Charter.</w:t>
      </w:r>
      <w:proofErr w:type="gramEnd"/>
      <w:r w:rsidR="00DA434B" w:rsidRPr="00F87C1B">
        <w:rPr>
          <w:rStyle w:val="FootnoteReference"/>
          <w:lang w:val="en-GB"/>
        </w:rPr>
        <w:footnoteReference w:id="28"/>
      </w:r>
      <w:r w:rsidR="00E56648" w:rsidRPr="00F87C1B">
        <w:rPr>
          <w:lang w:val="en-GB"/>
        </w:rPr>
        <w:t xml:space="preserve"> </w:t>
      </w:r>
    </w:p>
    <w:p w14:paraId="5EA9AFDC" w14:textId="77777777" w:rsidR="00874F19" w:rsidRPr="00F87C1B" w:rsidRDefault="00874F19" w:rsidP="00302773">
      <w:pPr>
        <w:jc w:val="both"/>
        <w:rPr>
          <w:lang w:val="en-GB"/>
        </w:rPr>
      </w:pPr>
    </w:p>
    <w:p w14:paraId="2ECC6C08" w14:textId="77777777" w:rsidR="00B6605C" w:rsidRPr="00F87C1B" w:rsidRDefault="00E56648" w:rsidP="00302773">
      <w:pPr>
        <w:jc w:val="both"/>
        <w:rPr>
          <w:lang w:val="en-GB"/>
        </w:rPr>
      </w:pPr>
      <w:r w:rsidRPr="00F87C1B">
        <w:rPr>
          <w:lang w:val="en-GB"/>
        </w:rPr>
        <w:lastRenderedPageBreak/>
        <w:t>Therefore, t</w:t>
      </w:r>
      <w:r w:rsidR="00B6605C" w:rsidRPr="00F87C1B">
        <w:rPr>
          <w:lang w:val="en-GB"/>
        </w:rPr>
        <w:t xml:space="preserve">he extraordinary developments on the Western Balkans route can </w:t>
      </w:r>
      <w:r w:rsidR="006939E9" w:rsidRPr="00F87C1B">
        <w:rPr>
          <w:lang w:val="en-GB"/>
        </w:rPr>
        <w:t xml:space="preserve">only </w:t>
      </w:r>
      <w:r w:rsidR="00B6605C" w:rsidRPr="00F87C1B">
        <w:rPr>
          <w:lang w:val="en-GB"/>
        </w:rPr>
        <w:t xml:space="preserve">be understood in light of </w:t>
      </w:r>
      <w:r w:rsidR="006939E9" w:rsidRPr="00F87C1B">
        <w:rPr>
          <w:lang w:val="en-GB"/>
        </w:rPr>
        <w:t>the following</w:t>
      </w:r>
      <w:r w:rsidR="00874F19" w:rsidRPr="00F87C1B">
        <w:rPr>
          <w:lang w:val="en-GB"/>
        </w:rPr>
        <w:t xml:space="preserve"> five</w:t>
      </w:r>
      <w:r w:rsidR="006939E9" w:rsidRPr="00F87C1B">
        <w:rPr>
          <w:lang w:val="en-GB"/>
        </w:rPr>
        <w:t xml:space="preserve"> circumstances: first, the extremely high number of migrants</w:t>
      </w:r>
      <w:r w:rsidR="00057B05" w:rsidRPr="00F87C1B">
        <w:rPr>
          <w:lang w:val="en-GB"/>
        </w:rPr>
        <w:t xml:space="preserve"> who were transiting the</w:t>
      </w:r>
      <w:r w:rsidR="006939E9" w:rsidRPr="00F87C1B">
        <w:rPr>
          <w:lang w:val="en-GB"/>
        </w:rPr>
        <w:t xml:space="preserve"> route</w:t>
      </w:r>
      <w:r w:rsidR="00057B05" w:rsidRPr="00F87C1B">
        <w:rPr>
          <w:lang w:val="en-GB"/>
        </w:rPr>
        <w:t xml:space="preserve"> in groups and not individually</w:t>
      </w:r>
      <w:r w:rsidR="006939E9" w:rsidRPr="00F87C1B">
        <w:rPr>
          <w:lang w:val="en-GB"/>
        </w:rPr>
        <w:t>; second, the willingness of the migrants to take the route and not t</w:t>
      </w:r>
      <w:r w:rsidRPr="00F87C1B">
        <w:rPr>
          <w:lang w:val="en-GB"/>
        </w:rPr>
        <w:t xml:space="preserve">o apply for asylum in the state of first </w:t>
      </w:r>
      <w:r w:rsidR="006939E9" w:rsidRPr="00F87C1B">
        <w:rPr>
          <w:lang w:val="en-GB"/>
        </w:rPr>
        <w:t xml:space="preserve">entry; third, the German </w:t>
      </w:r>
      <w:r w:rsidR="00874F19" w:rsidRPr="00F87C1B">
        <w:rPr>
          <w:lang w:val="en-GB"/>
        </w:rPr>
        <w:t>open-border migration policy</w:t>
      </w:r>
      <w:r w:rsidR="006939E9" w:rsidRPr="00F87C1B">
        <w:rPr>
          <w:lang w:val="en-GB"/>
        </w:rPr>
        <w:t xml:space="preserve">; fourth, the fact that the route was </w:t>
      </w:r>
      <w:r w:rsidR="00057B05" w:rsidRPr="00F87C1B">
        <w:rPr>
          <w:lang w:val="en-GB"/>
        </w:rPr>
        <w:t>facilitated</w:t>
      </w:r>
      <w:r w:rsidR="00874F19" w:rsidRPr="00F87C1B">
        <w:rPr>
          <w:lang w:val="en-GB"/>
        </w:rPr>
        <w:t xml:space="preserve"> and run by the states</w:t>
      </w:r>
      <w:r w:rsidR="00B15EA8">
        <w:rPr>
          <w:lang w:val="en-GB"/>
        </w:rPr>
        <w:t>;</w:t>
      </w:r>
      <w:r w:rsidR="00874F19" w:rsidRPr="00F87C1B">
        <w:rPr>
          <w:lang w:val="en-GB"/>
        </w:rPr>
        <w:t xml:space="preserve"> and fifth, the fact that the states o</w:t>
      </w:r>
      <w:r w:rsidRPr="00F87C1B">
        <w:rPr>
          <w:lang w:val="en-GB"/>
        </w:rPr>
        <w:t xml:space="preserve">n the Western Balkans route did not want to create a humanitarian crisis and breach their Convention and Charter obligations. </w:t>
      </w:r>
      <w:r w:rsidR="00874F19" w:rsidRPr="00F87C1B">
        <w:rPr>
          <w:lang w:val="en-GB"/>
        </w:rPr>
        <w:t>These five</w:t>
      </w:r>
      <w:r w:rsidR="006939E9" w:rsidRPr="00F87C1B">
        <w:rPr>
          <w:lang w:val="en-GB"/>
        </w:rPr>
        <w:t xml:space="preserve"> factors </w:t>
      </w:r>
      <w:r w:rsidR="00874F19" w:rsidRPr="00F87C1B">
        <w:rPr>
          <w:lang w:val="en-GB"/>
        </w:rPr>
        <w:t>arguably justified</w:t>
      </w:r>
      <w:r w:rsidR="006939E9" w:rsidRPr="00F87C1B">
        <w:rPr>
          <w:lang w:val="en-GB"/>
        </w:rPr>
        <w:t xml:space="preserve"> and legitimi</w:t>
      </w:r>
      <w:r w:rsidR="00B15EA8">
        <w:rPr>
          <w:lang w:val="en-GB"/>
        </w:rPr>
        <w:t>s</w:t>
      </w:r>
      <w:r w:rsidR="006939E9" w:rsidRPr="00F87C1B">
        <w:rPr>
          <w:lang w:val="en-GB"/>
        </w:rPr>
        <w:t>e</w:t>
      </w:r>
      <w:r w:rsidR="00874F19" w:rsidRPr="00F87C1B">
        <w:rPr>
          <w:lang w:val="en-GB"/>
        </w:rPr>
        <w:t>d</w:t>
      </w:r>
      <w:r w:rsidR="006939E9" w:rsidRPr="00F87C1B">
        <w:rPr>
          <w:lang w:val="en-GB"/>
        </w:rPr>
        <w:t xml:space="preserve"> the route despi</w:t>
      </w:r>
      <w:r w:rsidR="00C86214" w:rsidRPr="00F87C1B">
        <w:rPr>
          <w:lang w:val="en-GB"/>
        </w:rPr>
        <w:t>te the fact that it ra</w:t>
      </w:r>
      <w:r w:rsidR="006939E9" w:rsidRPr="00F87C1B">
        <w:rPr>
          <w:lang w:val="en-GB"/>
        </w:rPr>
        <w:t xml:space="preserve">n counter to the Dublin rules.  </w:t>
      </w:r>
    </w:p>
    <w:p w14:paraId="735931F7" w14:textId="77777777" w:rsidR="00302773" w:rsidRPr="00F87C1B" w:rsidRDefault="00302773" w:rsidP="005D0922">
      <w:pPr>
        <w:jc w:val="both"/>
        <w:rPr>
          <w:rFonts w:cs="Times"/>
          <w:lang w:val="en-GB"/>
        </w:rPr>
      </w:pPr>
    </w:p>
    <w:p w14:paraId="3FDEC060" w14:textId="77777777" w:rsidR="00EA5BF7" w:rsidRPr="00F87C1B" w:rsidRDefault="00EA5BF7" w:rsidP="005D0922">
      <w:pPr>
        <w:jc w:val="both"/>
        <w:rPr>
          <w:rFonts w:cs="Times"/>
          <w:lang w:val="en-GB"/>
        </w:rPr>
      </w:pPr>
    </w:p>
    <w:p w14:paraId="5F86EF3A" w14:textId="77777777" w:rsidR="00EA5BF7" w:rsidRPr="00F87C1B" w:rsidRDefault="00B50824" w:rsidP="001F49DD">
      <w:pPr>
        <w:jc w:val="both"/>
        <w:outlineLvl w:val="0"/>
        <w:rPr>
          <w:rFonts w:cs="Times"/>
          <w:b/>
          <w:lang w:val="en-GB"/>
        </w:rPr>
      </w:pPr>
      <w:r w:rsidRPr="00F87C1B">
        <w:rPr>
          <w:rFonts w:cs="Times"/>
          <w:b/>
          <w:lang w:val="en-GB"/>
        </w:rPr>
        <w:t>4.2</w:t>
      </w:r>
      <w:r w:rsidR="00EA5BF7" w:rsidRPr="00F87C1B">
        <w:rPr>
          <w:rFonts w:cs="Times"/>
          <w:b/>
          <w:lang w:val="en-GB"/>
        </w:rPr>
        <w:t>. The Western Balkans route and the Position of Greece</w:t>
      </w:r>
    </w:p>
    <w:p w14:paraId="5694616E" w14:textId="77777777" w:rsidR="00EA5BF7" w:rsidRPr="00F87C1B" w:rsidRDefault="00EA5BF7" w:rsidP="005D0922">
      <w:pPr>
        <w:jc w:val="both"/>
        <w:rPr>
          <w:rFonts w:cs="Times"/>
          <w:lang w:val="en-GB"/>
        </w:rPr>
      </w:pPr>
    </w:p>
    <w:p w14:paraId="156A9F3E" w14:textId="77777777" w:rsidR="005D0922" w:rsidRPr="00F87C1B" w:rsidRDefault="003F4047" w:rsidP="005D0922">
      <w:pPr>
        <w:jc w:val="both"/>
        <w:rPr>
          <w:rFonts w:cs="Times"/>
          <w:lang w:val="en-GB"/>
        </w:rPr>
      </w:pPr>
      <w:r w:rsidRPr="00F87C1B">
        <w:rPr>
          <w:rFonts w:cs="Times"/>
          <w:lang w:val="en-GB"/>
        </w:rPr>
        <w:t xml:space="preserve">The migrants on the Western Balkans route entered the EU via Greece. Therefore, Greece was the state of first irregular entry under the Dublin rules. </w:t>
      </w:r>
      <w:r w:rsidR="00A35492" w:rsidRPr="00F87C1B">
        <w:rPr>
          <w:rFonts w:cs="Times"/>
          <w:lang w:val="en-GB"/>
        </w:rPr>
        <w:t xml:space="preserve">However, </w:t>
      </w:r>
      <w:r w:rsidR="00BC7D62" w:rsidRPr="00F87C1B">
        <w:rPr>
          <w:rFonts w:cs="Times"/>
          <w:lang w:val="en-GB"/>
        </w:rPr>
        <w:t xml:space="preserve">the </w:t>
      </w:r>
      <w:r w:rsidR="00A35492" w:rsidRPr="00F87C1B">
        <w:rPr>
          <w:rFonts w:cs="Times"/>
          <w:lang w:val="en-GB"/>
        </w:rPr>
        <w:t>Greek situation was unique in that respect</w:t>
      </w:r>
      <w:r w:rsidR="00BC7D62" w:rsidRPr="00F87C1B">
        <w:rPr>
          <w:rFonts w:cs="Times"/>
          <w:lang w:val="en-GB"/>
        </w:rPr>
        <w:t>,</w:t>
      </w:r>
      <w:r w:rsidR="00A35492" w:rsidRPr="00F87C1B">
        <w:rPr>
          <w:rFonts w:cs="Times"/>
          <w:lang w:val="en-GB"/>
        </w:rPr>
        <w:t xml:space="preserve"> as Dublin transfer to Greece could not take place.  Even though Greece was the state of first entry on the Western Balkans route</w:t>
      </w:r>
      <w:r w:rsidR="008B5129" w:rsidRPr="00F87C1B">
        <w:rPr>
          <w:rFonts w:cs="Times"/>
          <w:lang w:val="en-GB"/>
        </w:rPr>
        <w:t xml:space="preserve">, since the two </w:t>
      </w:r>
      <w:proofErr w:type="spellStart"/>
      <w:r w:rsidR="008B5129" w:rsidRPr="00F87C1B">
        <w:rPr>
          <w:rFonts w:cs="Times"/>
          <w:lang w:val="en-GB"/>
        </w:rPr>
        <w:t>ground</w:t>
      </w:r>
      <w:r w:rsidR="00F4558B" w:rsidRPr="00F87C1B">
        <w:rPr>
          <w:rFonts w:cs="Times"/>
          <w:lang w:val="en-GB"/>
        </w:rPr>
        <w:t>breaking</w:t>
      </w:r>
      <w:proofErr w:type="spellEnd"/>
      <w:r w:rsidR="00F4558B" w:rsidRPr="00F87C1B">
        <w:rPr>
          <w:rFonts w:cs="Times"/>
          <w:lang w:val="en-GB"/>
        </w:rPr>
        <w:t xml:space="preserve"> judgments in </w:t>
      </w:r>
      <w:r w:rsidR="00F4558B" w:rsidRPr="00F87C1B">
        <w:rPr>
          <w:rFonts w:cs="Times"/>
          <w:i/>
          <w:lang w:val="en-GB"/>
        </w:rPr>
        <w:t>MSS</w:t>
      </w:r>
      <w:r w:rsidR="009C106B" w:rsidRPr="00F87C1B">
        <w:rPr>
          <w:vertAlign w:val="superscript"/>
          <w:lang w:val="en-GB"/>
        </w:rPr>
        <w:footnoteReference w:id="29"/>
      </w:r>
      <w:r w:rsidR="00F4558B" w:rsidRPr="00F87C1B">
        <w:rPr>
          <w:rFonts w:cs="Times"/>
          <w:lang w:val="en-GB"/>
        </w:rPr>
        <w:t xml:space="preserve"> and </w:t>
      </w:r>
      <w:r w:rsidR="00F4558B" w:rsidRPr="00F87C1B">
        <w:rPr>
          <w:rFonts w:cs="Times"/>
          <w:i/>
          <w:lang w:val="en-GB"/>
        </w:rPr>
        <w:t>NS</w:t>
      </w:r>
      <w:r w:rsidR="009C106B" w:rsidRPr="00F87C1B">
        <w:rPr>
          <w:vertAlign w:val="superscript"/>
          <w:lang w:val="en-GB"/>
        </w:rPr>
        <w:footnoteReference w:id="30"/>
      </w:r>
      <w:r w:rsidR="00092E44" w:rsidRPr="00F87C1B">
        <w:rPr>
          <w:rFonts w:cs="Times"/>
          <w:lang w:val="en-GB"/>
        </w:rPr>
        <w:t xml:space="preserve"> </w:t>
      </w:r>
      <w:r w:rsidR="008B5129" w:rsidRPr="00F87C1B">
        <w:rPr>
          <w:rFonts w:cs="Times"/>
          <w:lang w:val="en-GB"/>
        </w:rPr>
        <w:t>in</w:t>
      </w:r>
      <w:r w:rsidR="00092E44" w:rsidRPr="00F87C1B">
        <w:rPr>
          <w:rFonts w:cs="Times"/>
          <w:lang w:val="en-GB"/>
        </w:rPr>
        <w:t xml:space="preserve"> 2011</w:t>
      </w:r>
      <w:r w:rsidR="008B5129" w:rsidRPr="00F87C1B">
        <w:rPr>
          <w:rFonts w:cs="Times"/>
          <w:lang w:val="en-GB"/>
        </w:rPr>
        <w:t>,</w:t>
      </w:r>
      <w:r w:rsidR="00092E44" w:rsidRPr="00F87C1B">
        <w:rPr>
          <w:rFonts w:cs="Times"/>
          <w:lang w:val="en-GB"/>
        </w:rPr>
        <w:t xml:space="preserve"> all Dublin transfers to Greece </w:t>
      </w:r>
      <w:r w:rsidR="00A35492" w:rsidRPr="00F87C1B">
        <w:rPr>
          <w:rFonts w:cs="Times"/>
          <w:lang w:val="en-GB"/>
        </w:rPr>
        <w:t>had</w:t>
      </w:r>
      <w:r w:rsidR="008B5129" w:rsidRPr="00F87C1B">
        <w:rPr>
          <w:rFonts w:cs="Times"/>
          <w:lang w:val="en-GB"/>
        </w:rPr>
        <w:t xml:space="preserve"> been</w:t>
      </w:r>
      <w:r w:rsidR="00092E44" w:rsidRPr="00F87C1B">
        <w:rPr>
          <w:rFonts w:cs="Times"/>
          <w:lang w:val="en-GB"/>
        </w:rPr>
        <w:t xml:space="preserve"> suspended due to systemic deficiencies in the Greek asylum procedures and its reception conditions.</w:t>
      </w:r>
      <w:r w:rsidR="00C77963" w:rsidRPr="00F87C1B">
        <w:rPr>
          <w:rStyle w:val="FootnoteReference"/>
          <w:rFonts w:cs="Times"/>
          <w:lang w:val="en-GB"/>
        </w:rPr>
        <w:footnoteReference w:id="31"/>
      </w:r>
      <w:r w:rsidR="00092E44" w:rsidRPr="00F87C1B">
        <w:rPr>
          <w:rFonts w:cs="Times"/>
          <w:lang w:val="en-GB"/>
        </w:rPr>
        <w:t xml:space="preserve"> </w:t>
      </w:r>
      <w:r w:rsidR="005D0922" w:rsidRPr="00F87C1B">
        <w:rPr>
          <w:rFonts w:cs="Times"/>
          <w:lang w:val="en-GB"/>
        </w:rPr>
        <w:t xml:space="preserve">The judgments in </w:t>
      </w:r>
      <w:r w:rsidR="005D0922" w:rsidRPr="00F87C1B">
        <w:rPr>
          <w:rFonts w:cs="Times"/>
          <w:i/>
          <w:lang w:val="en-GB"/>
        </w:rPr>
        <w:t>MSS</w:t>
      </w:r>
      <w:r w:rsidR="005D0922" w:rsidRPr="00F87C1B">
        <w:rPr>
          <w:rFonts w:cs="Times"/>
          <w:lang w:val="en-GB"/>
        </w:rPr>
        <w:t xml:space="preserve"> and </w:t>
      </w:r>
      <w:r w:rsidR="005D0922" w:rsidRPr="00F87C1B">
        <w:rPr>
          <w:rFonts w:cs="Times"/>
          <w:i/>
          <w:lang w:val="en-GB"/>
        </w:rPr>
        <w:t>NS</w:t>
      </w:r>
      <w:r w:rsidR="005D0922" w:rsidRPr="00F87C1B">
        <w:rPr>
          <w:rFonts w:cs="Times"/>
          <w:lang w:val="en-GB"/>
        </w:rPr>
        <w:t xml:space="preserve"> revealed the inaccuracy of the premise that all EU Member States provide an adequate level of quality and efficiency</w:t>
      </w:r>
      <w:r w:rsidR="008B5129" w:rsidRPr="00F87C1B">
        <w:rPr>
          <w:rFonts w:cs="Times"/>
          <w:lang w:val="en-GB"/>
        </w:rPr>
        <w:t xml:space="preserve"> </w:t>
      </w:r>
      <w:r w:rsidR="002F22DB">
        <w:rPr>
          <w:rFonts w:cs="Times"/>
          <w:lang w:val="en-GB"/>
        </w:rPr>
        <w:t>in</w:t>
      </w:r>
      <w:r w:rsidR="008B5129" w:rsidRPr="00F87C1B">
        <w:rPr>
          <w:rFonts w:cs="Times"/>
          <w:lang w:val="en-GB"/>
        </w:rPr>
        <w:t xml:space="preserve"> the asylum procedure</w:t>
      </w:r>
      <w:r w:rsidR="005D0922" w:rsidRPr="00F87C1B">
        <w:rPr>
          <w:rFonts w:cs="Times"/>
          <w:lang w:val="en-GB"/>
        </w:rPr>
        <w:t xml:space="preserve"> and ensure a satisfactory level of protection of asylum seekers’ fundamental rights. </w:t>
      </w:r>
      <w:r w:rsidR="005D0922" w:rsidRPr="00F87C1B">
        <w:rPr>
          <w:lang w:val="en-GB"/>
        </w:rPr>
        <w:t xml:space="preserve">In </w:t>
      </w:r>
      <w:r w:rsidR="005D0922" w:rsidRPr="00F87C1B">
        <w:rPr>
          <w:i/>
          <w:lang w:val="en-GB"/>
        </w:rPr>
        <w:t>MSS</w:t>
      </w:r>
      <w:r w:rsidR="005D0922" w:rsidRPr="00F87C1B">
        <w:rPr>
          <w:lang w:val="en-GB"/>
        </w:rPr>
        <w:t xml:space="preserve">, the </w:t>
      </w:r>
      <w:proofErr w:type="spellStart"/>
      <w:r w:rsidR="005D0922" w:rsidRPr="00F87C1B">
        <w:rPr>
          <w:lang w:val="en-GB"/>
        </w:rPr>
        <w:t>ECtHR</w:t>
      </w:r>
      <w:proofErr w:type="spellEnd"/>
      <w:r w:rsidR="005D0922" w:rsidRPr="00F87C1B">
        <w:rPr>
          <w:lang w:val="en-GB"/>
        </w:rPr>
        <w:t xml:space="preserve"> concluded that both Greece, as the state of the asylum seeker’s first entry into the EU, and Belgium, as the transferring state, violated Article 3 ECHR (which prohibits torture, inhuman or degrading treatment or punishment) and also Article 13 ECHR (which proclaims the right to an effective remedy). On the other hand, in </w:t>
      </w:r>
      <w:r w:rsidR="005D0922" w:rsidRPr="00F87C1B">
        <w:rPr>
          <w:i/>
          <w:lang w:val="en-GB"/>
        </w:rPr>
        <w:t>NS</w:t>
      </w:r>
      <w:r w:rsidR="005D0922" w:rsidRPr="00F87C1B">
        <w:rPr>
          <w:lang w:val="en-GB"/>
        </w:rPr>
        <w:t xml:space="preserve"> the CJEU relied on the EU Charter of Fundamental Rights and held that the presumption that Member States are observing the fundamental rights enshrined in the Charter is rebutted when there are systemic deficiencies in asylum procedures and in </w:t>
      </w:r>
      <w:r w:rsidR="002F22DB">
        <w:rPr>
          <w:lang w:val="en-GB"/>
        </w:rPr>
        <w:t xml:space="preserve">the </w:t>
      </w:r>
      <w:r w:rsidR="005D0922" w:rsidRPr="00F87C1B">
        <w:rPr>
          <w:lang w:val="en-GB"/>
        </w:rPr>
        <w:t>reception conditions of asylum seekers. The Court of Justice, however, emphasi</w:t>
      </w:r>
      <w:r w:rsidR="002F22DB">
        <w:rPr>
          <w:lang w:val="en-GB"/>
        </w:rPr>
        <w:t>s</w:t>
      </w:r>
      <w:r w:rsidR="005D0922" w:rsidRPr="00F87C1B">
        <w:rPr>
          <w:lang w:val="en-GB"/>
        </w:rPr>
        <w:t xml:space="preserve">ed that not every violation of fundamental rights would suffice to rebut the presumption, but rather </w:t>
      </w:r>
      <w:r w:rsidR="002F22DB">
        <w:rPr>
          <w:lang w:val="en-GB"/>
        </w:rPr>
        <w:t xml:space="preserve">that </w:t>
      </w:r>
      <w:r w:rsidR="005D0922" w:rsidRPr="00F87C1B">
        <w:rPr>
          <w:lang w:val="en-GB"/>
        </w:rPr>
        <w:t>the systemic deficiencies need to amount to a real risk of inhuman or degrading treatment of asylum</w:t>
      </w:r>
      <w:r w:rsidR="002F22DB">
        <w:rPr>
          <w:lang w:val="en-GB"/>
        </w:rPr>
        <w:t xml:space="preserve"> </w:t>
      </w:r>
      <w:r w:rsidR="005D0922" w:rsidRPr="00F87C1B">
        <w:rPr>
          <w:lang w:val="en-GB"/>
        </w:rPr>
        <w:t>seekers in the sense of Article 4 of the Charter.</w:t>
      </w:r>
    </w:p>
    <w:p w14:paraId="366BBEAD" w14:textId="77777777" w:rsidR="00442FE5" w:rsidRPr="00F87C1B" w:rsidRDefault="00442FE5" w:rsidP="005D0922">
      <w:pPr>
        <w:jc w:val="both"/>
        <w:rPr>
          <w:lang w:val="en-GB"/>
        </w:rPr>
      </w:pPr>
    </w:p>
    <w:p w14:paraId="5E7ED2AE" w14:textId="77777777" w:rsidR="00442FE5" w:rsidRPr="00F87C1B" w:rsidRDefault="00442FE5" w:rsidP="005D0922">
      <w:pPr>
        <w:jc w:val="both"/>
        <w:rPr>
          <w:lang w:val="en-GB"/>
        </w:rPr>
      </w:pPr>
      <w:r w:rsidRPr="00F87C1B">
        <w:rPr>
          <w:lang w:val="en-GB"/>
        </w:rPr>
        <w:t xml:space="preserve">The CJEU’s judgment in </w:t>
      </w:r>
      <w:r w:rsidRPr="00F87C1B">
        <w:rPr>
          <w:i/>
          <w:lang w:val="en-GB"/>
        </w:rPr>
        <w:t>NS</w:t>
      </w:r>
      <w:r w:rsidRPr="00F87C1B">
        <w:rPr>
          <w:lang w:val="en-GB"/>
        </w:rPr>
        <w:t xml:space="preserve"> was embraced in the process of amending the Dublin II Regulation into the currently operative Dublin III Regulation. Article 3(2) of the Dublin III Regulation, thus, explicitly states that transfer cannot be made </w:t>
      </w:r>
      <w:r w:rsidR="002F22DB">
        <w:rPr>
          <w:lang w:val="en-GB"/>
        </w:rPr>
        <w:t xml:space="preserve">if </w:t>
      </w:r>
      <w:r w:rsidR="002F22DB">
        <w:rPr>
          <w:lang w:val="en-GB"/>
        </w:rPr>
        <w:lastRenderedPageBreak/>
        <w:t xml:space="preserve">there is a </w:t>
      </w:r>
      <w:r w:rsidRPr="00F87C1B">
        <w:rPr>
          <w:lang w:val="en-GB"/>
        </w:rPr>
        <w:t>case of systemic flaws in the asylum procedure or in the reception conditions of the Member State responsible for processing the asylum claim, resulting in a risk of inhuman or d</w:t>
      </w:r>
      <w:r w:rsidR="00F51F58" w:rsidRPr="00F87C1B">
        <w:rPr>
          <w:lang w:val="en-GB"/>
        </w:rPr>
        <w:t>egrading treatment. In such a c</w:t>
      </w:r>
      <w:r w:rsidR="00BC7D62" w:rsidRPr="00F87C1B">
        <w:rPr>
          <w:lang w:val="en-GB"/>
        </w:rPr>
        <w:t>a</w:t>
      </w:r>
      <w:r w:rsidRPr="00F87C1B">
        <w:rPr>
          <w:lang w:val="en-GB"/>
        </w:rPr>
        <w:t>se</w:t>
      </w:r>
      <w:r w:rsidR="002F22DB">
        <w:rPr>
          <w:lang w:val="en-GB"/>
        </w:rPr>
        <w:t>,</w:t>
      </w:r>
      <w:r w:rsidRPr="00F87C1B">
        <w:rPr>
          <w:lang w:val="en-GB"/>
        </w:rPr>
        <w:t xml:space="preserve"> the determining Member State has to establish whether another Member State can be designated as responsible, based on the criteria set by the Dublin Regulation. </w:t>
      </w:r>
      <w:r w:rsidR="002F22DB">
        <w:rPr>
          <w:lang w:val="en-GB"/>
        </w:rPr>
        <w:t xml:space="preserve">If </w:t>
      </w:r>
      <w:r w:rsidRPr="00F87C1B">
        <w:rPr>
          <w:lang w:val="en-GB"/>
        </w:rPr>
        <w:t xml:space="preserve">no other Member State can be designated as responsible, the determining Member State shall become responsible for processing the asylum claim. The transformation of the Court’s case-law into EU secondary legislation in the case of the Dublin Regulation is one of many instances of the EU legislator’s recognition of the importance of the judgments of the Court of Justice and their inclusion into newly adopted EU legal acts.  </w:t>
      </w:r>
    </w:p>
    <w:p w14:paraId="42654343" w14:textId="77777777" w:rsidR="00F75DB0" w:rsidRPr="00F87C1B" w:rsidRDefault="00F75DB0" w:rsidP="005D0922">
      <w:pPr>
        <w:jc w:val="both"/>
        <w:rPr>
          <w:lang w:val="en-GB"/>
        </w:rPr>
      </w:pPr>
    </w:p>
    <w:p w14:paraId="41D24A51" w14:textId="77777777" w:rsidR="003B2A51" w:rsidRPr="00F87C1B" w:rsidRDefault="00A353F4" w:rsidP="005D0922">
      <w:pPr>
        <w:jc w:val="both"/>
        <w:rPr>
          <w:lang w:val="en-GB"/>
        </w:rPr>
      </w:pPr>
      <w:r w:rsidRPr="00F87C1B">
        <w:rPr>
          <w:lang w:val="en-GB"/>
        </w:rPr>
        <w:t>During the existence of the Western Balkans route,</w:t>
      </w:r>
      <w:r w:rsidR="00EA5BF7" w:rsidRPr="00F87C1B">
        <w:rPr>
          <w:lang w:val="en-GB"/>
        </w:rPr>
        <w:t xml:space="preserve"> </w:t>
      </w:r>
      <w:r w:rsidRPr="00F87C1B">
        <w:rPr>
          <w:lang w:val="en-GB"/>
        </w:rPr>
        <w:t>t</w:t>
      </w:r>
      <w:r w:rsidR="00BB3463" w:rsidRPr="00F87C1B">
        <w:rPr>
          <w:lang w:val="en-GB"/>
        </w:rPr>
        <w:t>he serious deficiencies of the Greek asylum system persisted.</w:t>
      </w:r>
      <w:r w:rsidR="00BB3463" w:rsidRPr="00F87C1B">
        <w:rPr>
          <w:rStyle w:val="FootnoteReference"/>
          <w:lang w:val="en-GB"/>
        </w:rPr>
        <w:footnoteReference w:id="32"/>
      </w:r>
      <w:r w:rsidR="00314531" w:rsidRPr="00F87C1B">
        <w:rPr>
          <w:lang w:val="en-GB"/>
        </w:rPr>
        <w:t xml:space="preserve"> </w:t>
      </w:r>
      <w:r w:rsidR="00F75DB0" w:rsidRPr="00F87C1B">
        <w:rPr>
          <w:lang w:val="en-GB"/>
        </w:rPr>
        <w:t>A</w:t>
      </w:r>
      <w:r w:rsidR="003B2A51" w:rsidRPr="00F87C1B">
        <w:rPr>
          <w:lang w:val="en-GB"/>
        </w:rPr>
        <w:t xml:space="preserve">s a consequence, based on Art. </w:t>
      </w:r>
      <w:proofErr w:type="gramStart"/>
      <w:r w:rsidR="003B2A51" w:rsidRPr="00F87C1B">
        <w:rPr>
          <w:lang w:val="en-GB"/>
        </w:rPr>
        <w:t>3(2) of the Dublin Regulation -</w:t>
      </w:r>
      <w:r w:rsidR="00F75DB0" w:rsidRPr="00F87C1B">
        <w:rPr>
          <w:lang w:val="en-GB"/>
        </w:rPr>
        <w:t xml:space="preserve"> </w:t>
      </w:r>
      <w:r w:rsidR="003B2A51" w:rsidRPr="00F87C1B">
        <w:rPr>
          <w:lang w:val="en-GB"/>
        </w:rPr>
        <w:t>despite the fact that Greece was the state of first entry – its non-compliance with Art.</w:t>
      </w:r>
      <w:proofErr w:type="gramEnd"/>
      <w:r w:rsidR="003B2A51" w:rsidRPr="00F87C1B">
        <w:rPr>
          <w:lang w:val="en-GB"/>
        </w:rPr>
        <w:t xml:space="preserve"> 13(1) could not result in Dublin transfers to Greece. </w:t>
      </w:r>
    </w:p>
    <w:p w14:paraId="3B79CB42" w14:textId="77777777" w:rsidR="003B2A51" w:rsidRPr="00F87C1B" w:rsidRDefault="003B2A51" w:rsidP="005D0922">
      <w:pPr>
        <w:jc w:val="both"/>
        <w:rPr>
          <w:lang w:val="en-GB"/>
        </w:rPr>
      </w:pPr>
    </w:p>
    <w:p w14:paraId="4A7787E8" w14:textId="77777777" w:rsidR="0087107C" w:rsidRPr="00F87C1B" w:rsidRDefault="00F75DB0" w:rsidP="005D0922">
      <w:pPr>
        <w:jc w:val="both"/>
        <w:rPr>
          <w:lang w:val="en-GB"/>
        </w:rPr>
      </w:pPr>
      <w:r w:rsidRPr="00F87C1B">
        <w:rPr>
          <w:lang w:val="en-GB"/>
        </w:rPr>
        <w:t xml:space="preserve">The next EU Member State on the Western Balkans </w:t>
      </w:r>
      <w:r w:rsidR="00BC7D62" w:rsidRPr="00F87C1B">
        <w:rPr>
          <w:lang w:val="en-GB"/>
        </w:rPr>
        <w:t xml:space="preserve">route was Croatia. </w:t>
      </w:r>
      <w:r w:rsidR="002F22DB">
        <w:rPr>
          <w:lang w:val="en-GB"/>
        </w:rPr>
        <w:t xml:space="preserve">An </w:t>
      </w:r>
      <w:r w:rsidR="001611F2" w:rsidRPr="00F87C1B">
        <w:rPr>
          <w:lang w:val="en-GB"/>
        </w:rPr>
        <w:t xml:space="preserve">analysis of the CJEU’s rulings in </w:t>
      </w:r>
      <w:r w:rsidR="001611F2" w:rsidRPr="00F87C1B">
        <w:rPr>
          <w:i/>
          <w:lang w:val="en-GB"/>
        </w:rPr>
        <w:t xml:space="preserve">A.S. </w:t>
      </w:r>
      <w:r w:rsidR="001611F2" w:rsidRPr="00255886">
        <w:rPr>
          <w:lang w:val="en-GB"/>
        </w:rPr>
        <w:t>and</w:t>
      </w:r>
      <w:r w:rsidR="001611F2" w:rsidRPr="00F87C1B">
        <w:rPr>
          <w:i/>
          <w:lang w:val="en-GB"/>
        </w:rPr>
        <w:t xml:space="preserve"> </w:t>
      </w:r>
      <w:proofErr w:type="spellStart"/>
      <w:r w:rsidR="001611F2" w:rsidRPr="00F87C1B">
        <w:rPr>
          <w:i/>
          <w:lang w:val="en-GB"/>
        </w:rPr>
        <w:t>Jafari</w:t>
      </w:r>
      <w:proofErr w:type="spellEnd"/>
      <w:r w:rsidR="001611F2" w:rsidRPr="00F87C1B">
        <w:rPr>
          <w:lang w:val="en-GB"/>
        </w:rPr>
        <w:t xml:space="preserve"> in the following </w:t>
      </w:r>
      <w:r w:rsidR="00EE15B1" w:rsidRPr="00F87C1B">
        <w:rPr>
          <w:lang w:val="en-GB"/>
        </w:rPr>
        <w:t xml:space="preserve">two </w:t>
      </w:r>
      <w:r w:rsidR="001611F2" w:rsidRPr="00F87C1B">
        <w:rPr>
          <w:lang w:val="en-GB"/>
        </w:rPr>
        <w:t>sub</w:t>
      </w:r>
      <w:r w:rsidR="004F4A44">
        <w:rPr>
          <w:lang w:val="en-GB"/>
        </w:rPr>
        <w:t>section</w:t>
      </w:r>
      <w:r w:rsidR="00EE15B1" w:rsidRPr="00F87C1B">
        <w:rPr>
          <w:lang w:val="en-GB"/>
        </w:rPr>
        <w:t>s</w:t>
      </w:r>
      <w:r w:rsidR="001611F2" w:rsidRPr="00F87C1B">
        <w:rPr>
          <w:lang w:val="en-GB"/>
        </w:rPr>
        <w:t xml:space="preserve"> will show that</w:t>
      </w:r>
      <w:r w:rsidR="0087107C" w:rsidRPr="00F87C1B">
        <w:rPr>
          <w:lang w:val="en-GB"/>
        </w:rPr>
        <w:t xml:space="preserve">, due to the situation in Greece, Croatia was deemed </w:t>
      </w:r>
      <w:r w:rsidR="001611F2" w:rsidRPr="00F87C1B">
        <w:rPr>
          <w:lang w:val="en-GB"/>
        </w:rPr>
        <w:t xml:space="preserve">responsible </w:t>
      </w:r>
      <w:r w:rsidR="0087107C" w:rsidRPr="00F87C1B">
        <w:rPr>
          <w:lang w:val="en-GB"/>
        </w:rPr>
        <w:t xml:space="preserve">under the Dublin rules. Consequently, EU Member States in which the asylum applicants, who transited the Western Balkans route, lodged their asylum application are entitled to carry out Dublin transfers to Croatia provided the three-month time limit, as interpreted by the Court in </w:t>
      </w:r>
      <w:proofErr w:type="spellStart"/>
      <w:r w:rsidR="0087107C" w:rsidRPr="00F87C1B">
        <w:rPr>
          <w:i/>
          <w:lang w:val="en-GB"/>
        </w:rPr>
        <w:t>Mengesteab</w:t>
      </w:r>
      <w:proofErr w:type="spellEnd"/>
      <w:r w:rsidR="005D76E9" w:rsidRPr="00F87C1B">
        <w:rPr>
          <w:lang w:val="en-GB"/>
        </w:rPr>
        <w:t>, has not been</w:t>
      </w:r>
      <w:r w:rsidR="002F22DB">
        <w:rPr>
          <w:lang w:val="en-GB"/>
        </w:rPr>
        <w:t xml:space="preserve"> exceeded</w:t>
      </w:r>
      <w:r w:rsidR="005D76E9" w:rsidRPr="00F87C1B">
        <w:rPr>
          <w:lang w:val="en-GB"/>
        </w:rPr>
        <w:t xml:space="preserve">. The </w:t>
      </w:r>
      <w:r w:rsidR="00EE15B1" w:rsidRPr="00F87C1B">
        <w:rPr>
          <w:lang w:val="en-GB"/>
        </w:rPr>
        <w:t>final</w:t>
      </w:r>
      <w:r w:rsidR="005D76E9" w:rsidRPr="00F87C1B">
        <w:rPr>
          <w:lang w:val="en-GB"/>
        </w:rPr>
        <w:t xml:space="preserve"> s</w:t>
      </w:r>
      <w:r w:rsidR="00A5112A" w:rsidRPr="00F87C1B">
        <w:rPr>
          <w:lang w:val="en-GB"/>
        </w:rPr>
        <w:t>ub</w:t>
      </w:r>
      <w:r w:rsidR="004F4A44">
        <w:rPr>
          <w:lang w:val="en-GB"/>
        </w:rPr>
        <w:t>section</w:t>
      </w:r>
      <w:r w:rsidR="00EE15B1" w:rsidRPr="00F87C1B">
        <w:rPr>
          <w:lang w:val="en-GB"/>
        </w:rPr>
        <w:t>s</w:t>
      </w:r>
      <w:r w:rsidR="00A5112A" w:rsidRPr="00F87C1B">
        <w:rPr>
          <w:lang w:val="en-GB"/>
        </w:rPr>
        <w:t xml:space="preserve"> aim to show that one can dispute not only the Court’s </w:t>
      </w:r>
      <w:r w:rsidR="00EE15B1" w:rsidRPr="00F87C1B">
        <w:rPr>
          <w:lang w:val="en-GB"/>
        </w:rPr>
        <w:t xml:space="preserve">strict interpretation of the Dublin Regulation </w:t>
      </w:r>
      <w:r w:rsidR="00A5112A" w:rsidRPr="00F87C1B">
        <w:rPr>
          <w:lang w:val="en-GB"/>
        </w:rPr>
        <w:t xml:space="preserve">in </w:t>
      </w:r>
      <w:r w:rsidR="00A5112A" w:rsidRPr="00F87C1B">
        <w:rPr>
          <w:i/>
          <w:lang w:val="en-GB"/>
        </w:rPr>
        <w:t xml:space="preserve">A.S. </w:t>
      </w:r>
      <w:r w:rsidR="00A5112A" w:rsidRPr="00255886">
        <w:rPr>
          <w:lang w:val="en-GB"/>
        </w:rPr>
        <w:t>and</w:t>
      </w:r>
      <w:r w:rsidR="00A5112A" w:rsidRPr="00F87C1B">
        <w:rPr>
          <w:i/>
          <w:lang w:val="en-GB"/>
        </w:rPr>
        <w:t xml:space="preserve"> </w:t>
      </w:r>
      <w:proofErr w:type="spellStart"/>
      <w:r w:rsidR="00A5112A" w:rsidRPr="00F87C1B">
        <w:rPr>
          <w:i/>
          <w:lang w:val="en-GB"/>
        </w:rPr>
        <w:t>Jafari</w:t>
      </w:r>
      <w:proofErr w:type="spellEnd"/>
      <w:r w:rsidR="00A5112A" w:rsidRPr="00F87C1B">
        <w:rPr>
          <w:lang w:val="en-GB"/>
        </w:rPr>
        <w:t xml:space="preserve">, but also </w:t>
      </w:r>
      <w:proofErr w:type="gramStart"/>
      <w:r w:rsidR="00A5112A" w:rsidRPr="00F87C1B">
        <w:rPr>
          <w:lang w:val="en-GB"/>
        </w:rPr>
        <w:t>its</w:t>
      </w:r>
      <w:proofErr w:type="gramEnd"/>
      <w:r w:rsidR="00A5112A" w:rsidRPr="00F87C1B">
        <w:rPr>
          <w:lang w:val="en-GB"/>
        </w:rPr>
        <w:t xml:space="preserve"> reading of the hierarchy of the</w:t>
      </w:r>
      <w:r w:rsidR="00E93BCD" w:rsidRPr="00F87C1B">
        <w:rPr>
          <w:lang w:val="en-GB"/>
        </w:rPr>
        <w:t xml:space="preserve"> Dublin</w:t>
      </w:r>
      <w:r w:rsidR="00A5112A" w:rsidRPr="00F87C1B">
        <w:rPr>
          <w:lang w:val="en-GB"/>
        </w:rPr>
        <w:t xml:space="preserve"> criteria for determinin</w:t>
      </w:r>
      <w:r w:rsidR="000A7913" w:rsidRPr="00F87C1B">
        <w:rPr>
          <w:lang w:val="en-GB"/>
        </w:rPr>
        <w:t>g the</w:t>
      </w:r>
      <w:r w:rsidR="00EE15B1" w:rsidRPr="00F87C1B">
        <w:rPr>
          <w:lang w:val="en-GB"/>
        </w:rPr>
        <w:t xml:space="preserve"> responsible</w:t>
      </w:r>
      <w:r w:rsidR="000A7913" w:rsidRPr="00F87C1B">
        <w:rPr>
          <w:lang w:val="en-GB"/>
        </w:rPr>
        <w:t xml:space="preserve"> Member State</w:t>
      </w:r>
      <w:r w:rsidR="00A5112A" w:rsidRPr="00F87C1B">
        <w:rPr>
          <w:lang w:val="en-GB"/>
        </w:rPr>
        <w:t xml:space="preserve">. </w:t>
      </w:r>
    </w:p>
    <w:p w14:paraId="66A59C75" w14:textId="77777777" w:rsidR="00465ACD" w:rsidRPr="00F87C1B" w:rsidRDefault="00F75DB0" w:rsidP="005D0922">
      <w:pPr>
        <w:jc w:val="both"/>
        <w:rPr>
          <w:lang w:val="en-GB"/>
        </w:rPr>
      </w:pPr>
      <w:r w:rsidRPr="00F87C1B">
        <w:rPr>
          <w:lang w:val="en-GB"/>
        </w:rPr>
        <w:t xml:space="preserve"> </w:t>
      </w:r>
    </w:p>
    <w:p w14:paraId="7A7011C9" w14:textId="77777777" w:rsidR="002A442E" w:rsidRPr="00F87C1B" w:rsidRDefault="002A442E" w:rsidP="002A442E">
      <w:pPr>
        <w:jc w:val="both"/>
        <w:rPr>
          <w:rFonts w:cs="Times"/>
          <w:lang w:val="en-GB"/>
        </w:rPr>
      </w:pPr>
    </w:p>
    <w:p w14:paraId="386751B1" w14:textId="77777777" w:rsidR="00A5112A" w:rsidRPr="00F87C1B" w:rsidRDefault="00A5112A" w:rsidP="001F49DD">
      <w:pPr>
        <w:jc w:val="both"/>
        <w:outlineLvl w:val="0"/>
        <w:rPr>
          <w:rFonts w:cs="Times"/>
          <w:b/>
          <w:lang w:val="en-GB"/>
        </w:rPr>
      </w:pPr>
      <w:r w:rsidRPr="00F87C1B">
        <w:rPr>
          <w:rFonts w:cs="Times"/>
          <w:b/>
          <w:lang w:val="en-GB"/>
        </w:rPr>
        <w:t xml:space="preserve">4.3. Rulings in </w:t>
      </w:r>
      <w:r w:rsidRPr="00F87C1B">
        <w:rPr>
          <w:rFonts w:cs="Times"/>
          <w:b/>
          <w:i/>
          <w:lang w:val="en-GB"/>
        </w:rPr>
        <w:t xml:space="preserve">A.S. </w:t>
      </w:r>
      <w:r w:rsidRPr="00255886">
        <w:rPr>
          <w:rFonts w:cs="Times"/>
          <w:b/>
          <w:lang w:val="en-GB"/>
        </w:rPr>
        <w:t>and</w:t>
      </w:r>
      <w:r w:rsidRPr="00F87C1B">
        <w:rPr>
          <w:rFonts w:cs="Times"/>
          <w:b/>
          <w:i/>
          <w:lang w:val="en-GB"/>
        </w:rPr>
        <w:t xml:space="preserve"> </w:t>
      </w:r>
      <w:proofErr w:type="spellStart"/>
      <w:r w:rsidRPr="00F87C1B">
        <w:rPr>
          <w:rFonts w:cs="Times"/>
          <w:b/>
          <w:i/>
          <w:lang w:val="en-GB"/>
        </w:rPr>
        <w:t>Jafari</w:t>
      </w:r>
      <w:proofErr w:type="spellEnd"/>
      <w:r w:rsidRPr="00F87C1B">
        <w:rPr>
          <w:rFonts w:cs="Times"/>
          <w:b/>
          <w:lang w:val="en-GB"/>
        </w:rPr>
        <w:t xml:space="preserve"> and in </w:t>
      </w:r>
      <w:proofErr w:type="spellStart"/>
      <w:r w:rsidRPr="00F87C1B">
        <w:rPr>
          <w:rFonts w:cs="Times"/>
          <w:b/>
          <w:i/>
          <w:lang w:val="en-GB"/>
        </w:rPr>
        <w:t>Mengesteab</w:t>
      </w:r>
      <w:proofErr w:type="spellEnd"/>
    </w:p>
    <w:p w14:paraId="6EB5CEF0" w14:textId="77777777" w:rsidR="00A5112A" w:rsidRPr="00F87C1B" w:rsidRDefault="00A5112A" w:rsidP="002A442E">
      <w:pPr>
        <w:jc w:val="both"/>
        <w:rPr>
          <w:rFonts w:cs="Times"/>
          <w:lang w:val="en-GB"/>
        </w:rPr>
      </w:pPr>
    </w:p>
    <w:p w14:paraId="4FD0ACA5" w14:textId="77777777" w:rsidR="00A5112A" w:rsidRPr="00F87C1B" w:rsidRDefault="00385513" w:rsidP="002A442E">
      <w:pPr>
        <w:jc w:val="both"/>
        <w:rPr>
          <w:rFonts w:cs="Times"/>
          <w:lang w:val="en-GB"/>
        </w:rPr>
      </w:pPr>
      <w:r w:rsidRPr="00F87C1B">
        <w:rPr>
          <w:rFonts w:cs="Times"/>
          <w:lang w:val="en-GB"/>
        </w:rPr>
        <w:t xml:space="preserve">The case in </w:t>
      </w:r>
      <w:r w:rsidRPr="00F87C1B">
        <w:rPr>
          <w:rFonts w:cs="Times"/>
          <w:i/>
          <w:lang w:val="en-GB"/>
        </w:rPr>
        <w:t>A.S. v Slovenia</w:t>
      </w:r>
      <w:r w:rsidRPr="00F87C1B">
        <w:rPr>
          <w:rFonts w:cs="Times"/>
          <w:lang w:val="en-GB"/>
        </w:rPr>
        <w:t xml:space="preserve"> concerned a Syrian national who left Syria for Lebanon and then travelled to Turkey, Greece</w:t>
      </w:r>
      <w:r w:rsidR="002F22DB">
        <w:rPr>
          <w:rFonts w:cs="Times"/>
          <w:lang w:val="en-GB"/>
        </w:rPr>
        <w:t>,</w:t>
      </w:r>
      <w:r w:rsidRPr="00F87C1B">
        <w:rPr>
          <w:rFonts w:cs="Times"/>
          <w:lang w:val="en-GB"/>
        </w:rPr>
        <w:t xml:space="preserve"> FYROM and Serbia. In 2016 he crossed the border between Serbia and Croatia. Subsequently, the Croatian authorities arranged for him to be transported to the Slovenian border</w:t>
      </w:r>
      <w:r w:rsidR="007723BD" w:rsidRPr="00F87C1B">
        <w:rPr>
          <w:rFonts w:cs="Times"/>
          <w:lang w:val="en-GB"/>
        </w:rPr>
        <w:t>. Having entered Slovenia on 20 February 2016, the Slovenian authorities handed him over</w:t>
      </w:r>
      <w:r w:rsidR="000A7913" w:rsidRPr="00F87C1B">
        <w:rPr>
          <w:rFonts w:cs="Times"/>
          <w:lang w:val="en-GB"/>
        </w:rPr>
        <w:t xml:space="preserve"> to the Austrian authorities, but they refused him e</w:t>
      </w:r>
      <w:r w:rsidR="00034909" w:rsidRPr="00F87C1B">
        <w:rPr>
          <w:rFonts w:cs="Times"/>
          <w:lang w:val="en-GB"/>
        </w:rPr>
        <w:t>ntry to Austria. O</w:t>
      </w:r>
      <w:r w:rsidR="000A7913" w:rsidRPr="00F87C1B">
        <w:rPr>
          <w:rFonts w:cs="Times"/>
          <w:lang w:val="en-GB"/>
        </w:rPr>
        <w:t xml:space="preserve">n 23 February 2016, A.S. lodged an asylum application in Slovenia. </w:t>
      </w:r>
      <w:r w:rsidR="00681EE3" w:rsidRPr="00F87C1B">
        <w:rPr>
          <w:rFonts w:cs="Times"/>
          <w:lang w:val="en-GB"/>
        </w:rPr>
        <w:t xml:space="preserve">The Slovenian authorities then asked the Croatian authorities to take charge and the Croatian authorities accepted. </w:t>
      </w:r>
      <w:r w:rsidR="00034909" w:rsidRPr="00F87C1B">
        <w:rPr>
          <w:rFonts w:cs="Times"/>
          <w:lang w:val="en-GB"/>
        </w:rPr>
        <w:t xml:space="preserve">Consequently, the Slovenian authorities decided not to examine A.S.’s </w:t>
      </w:r>
      <w:r w:rsidR="00034909" w:rsidRPr="00F87C1B">
        <w:rPr>
          <w:rFonts w:cs="Times"/>
          <w:lang w:val="en-GB"/>
        </w:rPr>
        <w:lastRenderedPageBreak/>
        <w:t>application for asylum</w:t>
      </w:r>
      <w:r w:rsidR="00614B0D" w:rsidRPr="00F87C1B">
        <w:rPr>
          <w:rFonts w:cs="Times"/>
          <w:lang w:val="en-GB"/>
        </w:rPr>
        <w:t xml:space="preserve">. A.S. challenged the decision before the Slovenian Administrative Court, which dismissed the action, but suspended enforcement pending </w:t>
      </w:r>
      <w:r w:rsidR="002F22DB">
        <w:rPr>
          <w:rFonts w:cs="Times"/>
          <w:lang w:val="en-GB"/>
        </w:rPr>
        <w:t xml:space="preserve">a </w:t>
      </w:r>
      <w:r w:rsidR="00614B0D" w:rsidRPr="00F87C1B">
        <w:rPr>
          <w:rFonts w:cs="Times"/>
          <w:lang w:val="en-GB"/>
        </w:rPr>
        <w:t xml:space="preserve">final decision. A.S. lodged an appeal before the Slovenian Supreme Court, which decided to stay the proceedings and make a preliminary reference to the Court of Justice of the European Union. </w:t>
      </w:r>
    </w:p>
    <w:p w14:paraId="137C1FAB" w14:textId="77777777" w:rsidR="002A7D12" w:rsidRPr="00F87C1B" w:rsidRDefault="002A7D12" w:rsidP="002A442E">
      <w:pPr>
        <w:jc w:val="both"/>
        <w:rPr>
          <w:rFonts w:cs="Times"/>
          <w:lang w:val="en-GB"/>
        </w:rPr>
      </w:pPr>
    </w:p>
    <w:p w14:paraId="1BD7A1EA" w14:textId="77777777" w:rsidR="002A7D12" w:rsidRPr="00F87C1B" w:rsidRDefault="002A7D12" w:rsidP="00276385">
      <w:pPr>
        <w:jc w:val="both"/>
        <w:rPr>
          <w:rFonts w:cs="Times"/>
          <w:lang w:val="en-GB"/>
        </w:rPr>
      </w:pPr>
      <w:r w:rsidRPr="00F87C1B">
        <w:rPr>
          <w:rFonts w:cs="Times"/>
          <w:lang w:val="en-GB"/>
        </w:rPr>
        <w:t xml:space="preserve">The </w:t>
      </w:r>
      <w:proofErr w:type="spellStart"/>
      <w:r w:rsidRPr="00F87C1B">
        <w:rPr>
          <w:rFonts w:cs="Times"/>
          <w:lang w:val="en-GB"/>
        </w:rPr>
        <w:t>Jafari</w:t>
      </w:r>
      <w:proofErr w:type="spellEnd"/>
      <w:r w:rsidRPr="00F87C1B">
        <w:rPr>
          <w:rFonts w:cs="Times"/>
          <w:lang w:val="en-GB"/>
        </w:rPr>
        <w:t xml:space="preserve"> sisters were Afghan nationals who left Afghanistan in December 2015 together with their children and travelled through Iran, Turkey, Greece, FYROM and Serbia. In 2016, they crossed the border between Serbia and Croatia. Subsequently the Croatian authorities organised their transport to the Slovenian border and they entered Slovenia. The Slovenian authorities issued them </w:t>
      </w:r>
      <w:r w:rsidR="00D82148">
        <w:rPr>
          <w:rFonts w:cs="Times"/>
          <w:lang w:val="en-GB"/>
        </w:rPr>
        <w:t xml:space="preserve">with </w:t>
      </w:r>
      <w:r w:rsidRPr="00F87C1B">
        <w:rPr>
          <w:rFonts w:cs="Times"/>
          <w:lang w:val="en-GB"/>
        </w:rPr>
        <w:t xml:space="preserve">police documents </w:t>
      </w:r>
      <w:r w:rsidR="000A2E6D" w:rsidRPr="00F87C1B">
        <w:rPr>
          <w:rFonts w:cs="Times"/>
          <w:lang w:val="en-GB"/>
        </w:rPr>
        <w:t xml:space="preserve">specifying Germany as the travel destination for one of them and Austria for the other one. </w:t>
      </w:r>
      <w:r w:rsidR="00B33064" w:rsidRPr="00F87C1B">
        <w:rPr>
          <w:rFonts w:cs="Times"/>
          <w:lang w:val="en-GB"/>
        </w:rPr>
        <w:t xml:space="preserve">On 15 February 2016 the </w:t>
      </w:r>
      <w:proofErr w:type="spellStart"/>
      <w:r w:rsidR="00B33064" w:rsidRPr="00F87C1B">
        <w:rPr>
          <w:rFonts w:cs="Times"/>
          <w:lang w:val="en-GB"/>
        </w:rPr>
        <w:t>Jafari</w:t>
      </w:r>
      <w:proofErr w:type="spellEnd"/>
      <w:r w:rsidR="00B33064" w:rsidRPr="00F87C1B">
        <w:rPr>
          <w:rFonts w:cs="Times"/>
          <w:lang w:val="en-GB"/>
        </w:rPr>
        <w:t xml:space="preserve"> sisters entered Austria and lodged asylum applications for themselves and their children. </w:t>
      </w:r>
      <w:r w:rsidR="00276385" w:rsidRPr="00F87C1B">
        <w:rPr>
          <w:rFonts w:cs="Times"/>
          <w:lang w:val="en-GB"/>
        </w:rPr>
        <w:t xml:space="preserve">The Austrian authorities first asked for information from the Slovenian authorities, which responded that the </w:t>
      </w:r>
      <w:proofErr w:type="spellStart"/>
      <w:r w:rsidR="00276385" w:rsidRPr="00F87C1B">
        <w:rPr>
          <w:rFonts w:cs="Times"/>
          <w:lang w:val="en-GB"/>
        </w:rPr>
        <w:t>Jafari</w:t>
      </w:r>
      <w:proofErr w:type="spellEnd"/>
      <w:r w:rsidR="00276385" w:rsidRPr="00F87C1B">
        <w:rPr>
          <w:rFonts w:cs="Times"/>
          <w:lang w:val="en-GB"/>
        </w:rPr>
        <w:t xml:space="preserve"> sisters had not been registered in Slovenia for any purpose relevant to the application of the Dublin Regulation. </w:t>
      </w:r>
      <w:r w:rsidR="00A07079" w:rsidRPr="00F87C1B">
        <w:rPr>
          <w:rFonts w:cs="Times"/>
          <w:lang w:val="en-GB"/>
        </w:rPr>
        <w:t>Subsequently, the Austrian authorities requested the Croa</w:t>
      </w:r>
      <w:r w:rsidR="00276385" w:rsidRPr="00F87C1B">
        <w:rPr>
          <w:rFonts w:cs="Times"/>
          <w:lang w:val="en-GB"/>
        </w:rPr>
        <w:t>tian authorities to take charge. T</w:t>
      </w:r>
      <w:r w:rsidR="00A07079" w:rsidRPr="00F87C1B">
        <w:rPr>
          <w:rFonts w:cs="Times"/>
          <w:lang w:val="en-GB"/>
        </w:rPr>
        <w:t>he Croatian authorities d</w:t>
      </w:r>
      <w:r w:rsidR="00276385" w:rsidRPr="00F87C1B">
        <w:rPr>
          <w:rFonts w:cs="Times"/>
          <w:lang w:val="en-GB"/>
        </w:rPr>
        <w:t xml:space="preserve">id not respond to that request, so the Austrian authorities sent them a letter dated 18 June 2016 informing them that, pursuant to Art. 22(7) of the Dublin Regulation, the responsibility for examining the asylum applications now </w:t>
      </w:r>
      <w:r w:rsidR="00D8386F" w:rsidRPr="00F87C1B">
        <w:rPr>
          <w:rFonts w:cs="Times"/>
          <w:lang w:val="en-GB"/>
        </w:rPr>
        <w:t>lay</w:t>
      </w:r>
      <w:r w:rsidR="00276385" w:rsidRPr="00F87C1B">
        <w:rPr>
          <w:rFonts w:cs="Times"/>
          <w:lang w:val="en-GB"/>
        </w:rPr>
        <w:t xml:space="preserve"> with Croatia. </w:t>
      </w:r>
      <w:r w:rsidR="00D8386F" w:rsidRPr="00F87C1B">
        <w:rPr>
          <w:rFonts w:cs="Times"/>
          <w:lang w:val="en-GB"/>
        </w:rPr>
        <w:t xml:space="preserve">Consequently, the Austrian authorities rejected the </w:t>
      </w:r>
      <w:proofErr w:type="spellStart"/>
      <w:r w:rsidR="00D8386F" w:rsidRPr="00F87C1B">
        <w:rPr>
          <w:rFonts w:cs="Times"/>
          <w:lang w:val="en-GB"/>
        </w:rPr>
        <w:t>Jafari</w:t>
      </w:r>
      <w:proofErr w:type="spellEnd"/>
      <w:r w:rsidR="00D8386F" w:rsidRPr="00F87C1B">
        <w:rPr>
          <w:rFonts w:cs="Times"/>
          <w:lang w:val="en-GB"/>
        </w:rPr>
        <w:t xml:space="preserve"> sisters’ asylum applications and ordered their removal. Following </w:t>
      </w:r>
      <w:r w:rsidR="00D82148">
        <w:rPr>
          <w:rFonts w:cs="Times"/>
          <w:lang w:val="en-GB"/>
        </w:rPr>
        <w:t xml:space="preserve">an </w:t>
      </w:r>
      <w:r w:rsidR="00D8386F" w:rsidRPr="00F87C1B">
        <w:rPr>
          <w:rFonts w:cs="Times"/>
          <w:lang w:val="en-GB"/>
        </w:rPr>
        <w:t xml:space="preserve">unsuccessful appeal to the Federal Administrative Court, the sisters lodged an appeal before the Upper Administrative Court, which decided to stay the proceedings and make a preliminary reference to the Court of Justice of the European Union. </w:t>
      </w:r>
    </w:p>
    <w:p w14:paraId="3A6B49BA" w14:textId="77777777" w:rsidR="00D8386F" w:rsidRPr="00F87C1B" w:rsidRDefault="00D8386F" w:rsidP="00276385">
      <w:pPr>
        <w:jc w:val="both"/>
        <w:rPr>
          <w:rFonts w:cs="Times"/>
          <w:lang w:val="en-GB"/>
        </w:rPr>
      </w:pPr>
    </w:p>
    <w:p w14:paraId="40F8357E" w14:textId="77777777" w:rsidR="00D8386F" w:rsidRPr="00F87C1B" w:rsidRDefault="00F75E55" w:rsidP="00276385">
      <w:pPr>
        <w:jc w:val="both"/>
        <w:rPr>
          <w:rFonts w:cs="Times"/>
          <w:lang w:val="en-GB"/>
        </w:rPr>
      </w:pPr>
      <w:r w:rsidRPr="00F87C1B">
        <w:rPr>
          <w:rFonts w:cs="Times"/>
          <w:lang w:val="en-GB"/>
        </w:rPr>
        <w:t xml:space="preserve">The Grand Chamber of the Court of Justice decided both cases on 26 July 2016. In </w:t>
      </w:r>
      <w:r w:rsidR="00B03702" w:rsidRPr="00F87C1B">
        <w:rPr>
          <w:rFonts w:cs="Times"/>
          <w:lang w:val="en-GB"/>
        </w:rPr>
        <w:t xml:space="preserve">both cases the Court first established that </w:t>
      </w:r>
      <w:r w:rsidR="008F5ACE" w:rsidRPr="00F87C1B">
        <w:rPr>
          <w:rFonts w:cs="Times"/>
          <w:lang w:val="en-GB"/>
        </w:rPr>
        <w:t>“the term ‘visa’ refers to an act formally adopted by a national authority” and that “a visa is not to be confused with admission to the territory of a Member State”.</w:t>
      </w:r>
      <w:r w:rsidR="008F5ACE" w:rsidRPr="00F87C1B">
        <w:rPr>
          <w:rStyle w:val="FootnoteReference"/>
          <w:rFonts w:cs="Times"/>
          <w:lang w:val="en-GB"/>
        </w:rPr>
        <w:footnoteReference w:id="33"/>
      </w:r>
      <w:r w:rsidR="008F5ACE" w:rsidRPr="00F87C1B">
        <w:rPr>
          <w:rFonts w:cs="Times"/>
          <w:lang w:val="en-GB"/>
        </w:rPr>
        <w:t xml:space="preserve"> Further,</w:t>
      </w:r>
      <w:r w:rsidR="00B03702" w:rsidRPr="00F87C1B">
        <w:rPr>
          <w:rFonts w:cs="Times"/>
          <w:lang w:val="en-GB"/>
        </w:rPr>
        <w:t xml:space="preserve"> </w:t>
      </w:r>
      <w:r w:rsidR="00E427D6" w:rsidRPr="00F87C1B">
        <w:rPr>
          <w:rFonts w:cs="Times"/>
          <w:lang w:val="en-GB"/>
        </w:rPr>
        <w:t xml:space="preserve">the Court stated that </w:t>
      </w:r>
      <w:r w:rsidR="00B03702" w:rsidRPr="00F87C1B">
        <w:rPr>
          <w:rFonts w:cs="Times"/>
          <w:lang w:val="en-GB"/>
        </w:rPr>
        <w:t>“a situation characterised by the arrival of an unusually large number of third-country nationals seeking international protection” does not alter that conclusion”</w:t>
      </w:r>
      <w:r w:rsidR="008F5ACE" w:rsidRPr="00F87C1B">
        <w:rPr>
          <w:rFonts w:cs="Times"/>
          <w:lang w:val="en-GB"/>
        </w:rPr>
        <w:t>.</w:t>
      </w:r>
      <w:r w:rsidR="008F5ACE" w:rsidRPr="00F87C1B">
        <w:rPr>
          <w:rStyle w:val="FootnoteReference"/>
          <w:rFonts w:cs="Times"/>
          <w:lang w:val="en-GB"/>
        </w:rPr>
        <w:footnoteReference w:id="34"/>
      </w:r>
      <w:r w:rsidR="00AF2626" w:rsidRPr="00F87C1B">
        <w:rPr>
          <w:rFonts w:cs="Times"/>
          <w:lang w:val="en-GB"/>
        </w:rPr>
        <w:t xml:space="preserve"> The Court, therefore, concluded</w:t>
      </w:r>
      <w:r w:rsidR="008F5ACE" w:rsidRPr="00F87C1B">
        <w:rPr>
          <w:rFonts w:cs="Times"/>
          <w:lang w:val="en-GB"/>
        </w:rPr>
        <w:t xml:space="preserve"> that </w:t>
      </w:r>
      <w:r w:rsidR="00AF2626" w:rsidRPr="00F87C1B">
        <w:rPr>
          <w:rFonts w:cs="Times"/>
          <w:lang w:val="en-GB"/>
        </w:rPr>
        <w:t>the situation on th</w:t>
      </w:r>
      <w:r w:rsidR="00E427D6" w:rsidRPr="00F87C1B">
        <w:rPr>
          <w:rFonts w:cs="Times"/>
          <w:lang w:val="en-GB"/>
        </w:rPr>
        <w:t xml:space="preserve">e Western Balkans route, where </w:t>
      </w:r>
      <w:r w:rsidR="00AF2626" w:rsidRPr="00F87C1B">
        <w:rPr>
          <w:rFonts w:cs="Times"/>
          <w:lang w:val="en-GB"/>
        </w:rPr>
        <w:t>the authorit</w:t>
      </w:r>
      <w:r w:rsidR="00E427D6" w:rsidRPr="00F87C1B">
        <w:rPr>
          <w:rFonts w:cs="Times"/>
          <w:lang w:val="en-GB"/>
        </w:rPr>
        <w:t xml:space="preserve">ies of one Member State </w:t>
      </w:r>
      <w:r w:rsidR="00AF2626" w:rsidRPr="00F87C1B">
        <w:rPr>
          <w:rFonts w:cs="Times"/>
          <w:lang w:val="en-GB"/>
        </w:rPr>
        <w:t xml:space="preserve">tolerated entry into </w:t>
      </w:r>
      <w:r w:rsidR="00D82148">
        <w:rPr>
          <w:rFonts w:cs="Times"/>
          <w:lang w:val="en-GB"/>
        </w:rPr>
        <w:t xml:space="preserve">its </w:t>
      </w:r>
      <w:r w:rsidR="00AF2626" w:rsidRPr="00F87C1B">
        <w:rPr>
          <w:rFonts w:cs="Times"/>
          <w:lang w:val="en-GB"/>
        </w:rPr>
        <w:t xml:space="preserve">territory of third-country nationals who did not fulfil the entry conditions could not be treated as a </w:t>
      </w:r>
      <w:r w:rsidR="00D82148">
        <w:rPr>
          <w:rFonts w:cs="Times"/>
          <w:lang w:val="en-GB"/>
        </w:rPr>
        <w:t>“</w:t>
      </w:r>
      <w:r w:rsidR="00AF2626" w:rsidRPr="00F87C1B">
        <w:rPr>
          <w:rFonts w:cs="Times"/>
          <w:lang w:val="en-GB"/>
        </w:rPr>
        <w:t>visa</w:t>
      </w:r>
      <w:r w:rsidR="00D82148">
        <w:rPr>
          <w:rFonts w:cs="Times"/>
          <w:lang w:val="en-GB"/>
        </w:rPr>
        <w:t>”</w:t>
      </w:r>
      <w:r w:rsidR="00AF2626" w:rsidRPr="00F87C1B">
        <w:rPr>
          <w:rFonts w:cs="Times"/>
          <w:lang w:val="en-GB"/>
        </w:rPr>
        <w:t xml:space="preserve"> situation</w:t>
      </w:r>
      <w:r w:rsidR="00A52FB6" w:rsidRPr="00F87C1B">
        <w:rPr>
          <w:rFonts w:cs="Times"/>
          <w:lang w:val="en-GB"/>
        </w:rPr>
        <w:t xml:space="preserve"> within the meaning of Art</w:t>
      </w:r>
      <w:r w:rsidR="00567B45" w:rsidRPr="00F87C1B">
        <w:rPr>
          <w:rFonts w:cs="Times"/>
          <w:lang w:val="en-GB"/>
        </w:rPr>
        <w:t>icle 12 of the Dublin Regulation.</w:t>
      </w:r>
      <w:r w:rsidR="00335AA9" w:rsidRPr="00F87C1B">
        <w:rPr>
          <w:rStyle w:val="FootnoteReference"/>
          <w:rFonts w:cs="Times"/>
          <w:lang w:val="en-GB"/>
        </w:rPr>
        <w:footnoteReference w:id="35"/>
      </w:r>
      <w:r w:rsidR="00A52FB6" w:rsidRPr="00F87C1B">
        <w:rPr>
          <w:rFonts w:cs="Times"/>
          <w:lang w:val="en-GB"/>
        </w:rPr>
        <w:t xml:space="preserve"> Consequently, the responsibility for examining the asylum application could not be determined based on Art. 12 of the Dublin Regulation, </w:t>
      </w:r>
      <w:r w:rsidR="00195A7C" w:rsidRPr="00F87C1B">
        <w:rPr>
          <w:rFonts w:cs="Times"/>
          <w:lang w:val="en-GB"/>
        </w:rPr>
        <w:t xml:space="preserve">stipulating that the responsible Member State is the </w:t>
      </w:r>
      <w:proofErr w:type="gramStart"/>
      <w:r w:rsidR="00195A7C" w:rsidRPr="00F87C1B">
        <w:rPr>
          <w:rFonts w:cs="Times"/>
          <w:lang w:val="en-GB"/>
        </w:rPr>
        <w:t>state which</w:t>
      </w:r>
      <w:proofErr w:type="gramEnd"/>
      <w:r w:rsidR="00195A7C" w:rsidRPr="00F87C1B">
        <w:rPr>
          <w:rFonts w:cs="Times"/>
          <w:lang w:val="en-GB"/>
        </w:rPr>
        <w:t xml:space="preserve"> issued the visa. </w:t>
      </w:r>
      <w:r w:rsidR="00A52FB6" w:rsidRPr="00F87C1B">
        <w:rPr>
          <w:rFonts w:cs="Times"/>
          <w:lang w:val="en-GB"/>
        </w:rPr>
        <w:t xml:space="preserve"> </w:t>
      </w:r>
    </w:p>
    <w:p w14:paraId="0D290336" w14:textId="77777777" w:rsidR="003A5395" w:rsidRPr="00F87C1B" w:rsidRDefault="003A5395" w:rsidP="00276385">
      <w:pPr>
        <w:jc w:val="both"/>
        <w:rPr>
          <w:rFonts w:cs="Times"/>
          <w:lang w:val="en-GB"/>
        </w:rPr>
      </w:pPr>
    </w:p>
    <w:p w14:paraId="796CD953" w14:textId="77777777" w:rsidR="003A5395" w:rsidRPr="00F87C1B" w:rsidRDefault="003A5395" w:rsidP="00276385">
      <w:pPr>
        <w:jc w:val="both"/>
        <w:rPr>
          <w:rFonts w:cs="Times"/>
          <w:lang w:val="en-GB"/>
        </w:rPr>
      </w:pPr>
      <w:r w:rsidRPr="00F87C1B">
        <w:rPr>
          <w:rFonts w:cs="Times"/>
          <w:lang w:val="en-GB"/>
        </w:rPr>
        <w:t xml:space="preserve">The Court then moved on to </w:t>
      </w:r>
      <w:r w:rsidR="00D82148">
        <w:rPr>
          <w:rFonts w:cs="Times"/>
          <w:lang w:val="en-GB"/>
        </w:rPr>
        <w:t xml:space="preserve">an </w:t>
      </w:r>
      <w:r w:rsidRPr="00F87C1B">
        <w:rPr>
          <w:rFonts w:cs="Times"/>
          <w:lang w:val="en-GB"/>
        </w:rPr>
        <w:t>analysis of the term “irregular crossing”</w:t>
      </w:r>
      <w:r w:rsidR="00AC5DCE" w:rsidRPr="00F87C1B">
        <w:rPr>
          <w:rFonts w:cs="Times"/>
          <w:lang w:val="en-GB"/>
        </w:rPr>
        <w:t xml:space="preserve"> and first ascertained that this concept is neither defined in the Dublin Regulation, nor can it be inferred from other acts.</w:t>
      </w:r>
      <w:r w:rsidR="00AC5DCE" w:rsidRPr="00F87C1B">
        <w:rPr>
          <w:rStyle w:val="FootnoteReference"/>
          <w:rFonts w:cs="Times"/>
          <w:lang w:val="en-GB"/>
        </w:rPr>
        <w:footnoteReference w:id="36"/>
      </w:r>
      <w:r w:rsidR="00AC5DCE" w:rsidRPr="00F87C1B">
        <w:rPr>
          <w:rFonts w:cs="Times"/>
          <w:lang w:val="en-GB"/>
        </w:rPr>
        <w:t xml:space="preserve"> </w:t>
      </w:r>
      <w:r w:rsidR="00B00941" w:rsidRPr="00F87C1B">
        <w:rPr>
          <w:rFonts w:cs="Times"/>
          <w:lang w:val="en-GB"/>
        </w:rPr>
        <w:t xml:space="preserve">Having said that, the Court concluded that </w:t>
      </w:r>
      <w:r w:rsidR="00CB3C05" w:rsidRPr="00F87C1B">
        <w:rPr>
          <w:rFonts w:cs="Times"/>
          <w:lang w:val="en-GB"/>
        </w:rPr>
        <w:lastRenderedPageBreak/>
        <w:t>crossing the border, without fulfilling the conditions set by the Schengen Borders Code</w:t>
      </w:r>
      <w:r w:rsidR="00D82148">
        <w:rPr>
          <w:rFonts w:cs="Times"/>
          <w:lang w:val="en-GB"/>
        </w:rPr>
        <w:t>,</w:t>
      </w:r>
      <w:r w:rsidR="00CB3C05" w:rsidRPr="00F87C1B">
        <w:rPr>
          <w:rFonts w:cs="Times"/>
          <w:lang w:val="en-GB"/>
        </w:rPr>
        <w:t xml:space="preserve"> must be considered </w:t>
      </w:r>
      <w:r w:rsidR="00D82148">
        <w:rPr>
          <w:rFonts w:cs="Times"/>
          <w:lang w:val="en-GB"/>
        </w:rPr>
        <w:t>“</w:t>
      </w:r>
      <w:r w:rsidR="00CB3C05" w:rsidRPr="00F87C1B">
        <w:rPr>
          <w:rFonts w:cs="Times"/>
          <w:lang w:val="en-GB"/>
        </w:rPr>
        <w:t>irregular</w:t>
      </w:r>
      <w:r w:rsidR="00D82148">
        <w:rPr>
          <w:rFonts w:cs="Times"/>
          <w:lang w:val="en-GB"/>
        </w:rPr>
        <w:t>”</w:t>
      </w:r>
      <w:r w:rsidR="00CB3C05" w:rsidRPr="00F87C1B">
        <w:rPr>
          <w:rFonts w:cs="Times"/>
          <w:lang w:val="en-GB"/>
        </w:rPr>
        <w:t xml:space="preserve"> within the meaning of Article 13(1) of the Dublin Regulation.</w:t>
      </w:r>
      <w:r w:rsidR="00CB3C05" w:rsidRPr="00F87C1B">
        <w:rPr>
          <w:rStyle w:val="FootnoteReference"/>
          <w:rFonts w:cs="Times"/>
          <w:lang w:val="en-GB"/>
        </w:rPr>
        <w:footnoteReference w:id="37"/>
      </w:r>
      <w:r w:rsidR="00CB3C05" w:rsidRPr="00F87C1B">
        <w:rPr>
          <w:rFonts w:cs="Times"/>
          <w:lang w:val="en-GB"/>
        </w:rPr>
        <w:t xml:space="preserve"> It emphasi</w:t>
      </w:r>
      <w:r w:rsidR="00D82148">
        <w:rPr>
          <w:rFonts w:cs="Times"/>
          <w:lang w:val="en-GB"/>
        </w:rPr>
        <w:t>s</w:t>
      </w:r>
      <w:r w:rsidR="00CB3C05" w:rsidRPr="00F87C1B">
        <w:rPr>
          <w:rFonts w:cs="Times"/>
          <w:lang w:val="en-GB"/>
        </w:rPr>
        <w:t>ed that authorising entry on humanitarian grounds, as stipulated by Article 5(4)(c) of the Schengen Borders Code</w:t>
      </w:r>
      <w:r w:rsidR="00D82148">
        <w:rPr>
          <w:rFonts w:cs="Times"/>
          <w:lang w:val="en-GB"/>
        </w:rPr>
        <w:t>,</w:t>
      </w:r>
      <w:r w:rsidR="00CB3C05" w:rsidRPr="00F87C1B">
        <w:rPr>
          <w:rFonts w:cs="Times"/>
          <w:lang w:val="en-GB"/>
        </w:rPr>
        <w:t xml:space="preserve"> is valid only in respect of the territory of the Member State concerned and, therefore, cannot have the effect of regularising the crossing of a border of one Member State for the sole purpose of enabling the transit to another Member State in order to lodge an application there.</w:t>
      </w:r>
      <w:r w:rsidR="00CB3C05" w:rsidRPr="00F87C1B">
        <w:rPr>
          <w:rStyle w:val="FootnoteReference"/>
          <w:rFonts w:cs="Times"/>
          <w:lang w:val="en-GB"/>
        </w:rPr>
        <w:footnoteReference w:id="38"/>
      </w:r>
      <w:r w:rsidR="00CB3C05" w:rsidRPr="00F87C1B">
        <w:rPr>
          <w:rFonts w:cs="Times"/>
          <w:lang w:val="en-GB"/>
        </w:rPr>
        <w:t xml:space="preserve"> </w:t>
      </w:r>
      <w:r w:rsidR="00FB0A0C" w:rsidRPr="00F87C1B">
        <w:rPr>
          <w:rFonts w:cs="Times"/>
          <w:lang w:val="en-GB"/>
        </w:rPr>
        <w:t xml:space="preserve">Similarly, the Court determined that an entry authorised in that context </w:t>
      </w:r>
      <w:proofErr w:type="gramStart"/>
      <w:r w:rsidR="00FB0A0C" w:rsidRPr="00F87C1B">
        <w:rPr>
          <w:rFonts w:cs="Times"/>
          <w:lang w:val="en-GB"/>
        </w:rPr>
        <w:t>cannot</w:t>
      </w:r>
      <w:proofErr w:type="gramEnd"/>
      <w:r w:rsidR="00FB0A0C" w:rsidRPr="00F87C1B">
        <w:rPr>
          <w:rFonts w:cs="Times"/>
          <w:lang w:val="en-GB"/>
        </w:rPr>
        <w:t xml:space="preserve"> be regarded as a visa waiver.</w:t>
      </w:r>
      <w:r w:rsidR="00FB0A0C" w:rsidRPr="00F87C1B">
        <w:rPr>
          <w:rStyle w:val="FootnoteReference"/>
          <w:rFonts w:cs="Times"/>
          <w:lang w:val="en-GB"/>
        </w:rPr>
        <w:footnoteReference w:id="39"/>
      </w:r>
      <w:r w:rsidR="00FB0A0C" w:rsidRPr="00F87C1B">
        <w:rPr>
          <w:rFonts w:cs="Times"/>
          <w:lang w:val="en-GB"/>
        </w:rPr>
        <w:t xml:space="preserve"> </w:t>
      </w:r>
      <w:r w:rsidR="00D6109C" w:rsidRPr="00F87C1B">
        <w:rPr>
          <w:rFonts w:cs="Times"/>
          <w:lang w:val="en-GB"/>
        </w:rPr>
        <w:t xml:space="preserve">The Court, therefore, concluded that </w:t>
      </w:r>
      <w:r w:rsidR="0064522C" w:rsidRPr="00F87C1B">
        <w:rPr>
          <w:rFonts w:cs="Times"/>
          <w:lang w:val="en-GB"/>
        </w:rPr>
        <w:t xml:space="preserve">such an entry must be regarded as </w:t>
      </w:r>
      <w:r w:rsidR="00D82148">
        <w:rPr>
          <w:rFonts w:cs="Times"/>
          <w:lang w:val="en-GB"/>
        </w:rPr>
        <w:t>an “</w:t>
      </w:r>
      <w:r w:rsidR="0064522C" w:rsidRPr="00F87C1B">
        <w:rPr>
          <w:rFonts w:cs="Times"/>
          <w:lang w:val="en-GB"/>
        </w:rPr>
        <w:t>irregular crossing</w:t>
      </w:r>
      <w:r w:rsidR="00D82148">
        <w:rPr>
          <w:rFonts w:cs="Times"/>
          <w:lang w:val="en-GB"/>
        </w:rPr>
        <w:t>”</w:t>
      </w:r>
      <w:r w:rsidR="0064522C" w:rsidRPr="00F87C1B">
        <w:rPr>
          <w:rFonts w:cs="Times"/>
          <w:lang w:val="en-GB"/>
        </w:rPr>
        <w:t xml:space="preserve"> “irrespective of whether the crossing was tolerated or authori</w:t>
      </w:r>
      <w:r w:rsidR="00D82148">
        <w:rPr>
          <w:rFonts w:cs="Times"/>
          <w:lang w:val="en-GB"/>
        </w:rPr>
        <w:t>s</w:t>
      </w:r>
      <w:r w:rsidR="0064522C" w:rsidRPr="00F87C1B">
        <w:rPr>
          <w:rFonts w:cs="Times"/>
          <w:lang w:val="en-GB"/>
        </w:rPr>
        <w:t>ed in breach of the applicable rules or whether it was authorised on humanitarian grounds by way of derogation from the entry conditions generally imposed on third-country nationals”.</w:t>
      </w:r>
      <w:r w:rsidR="0064522C" w:rsidRPr="00F87C1B">
        <w:rPr>
          <w:rStyle w:val="FootnoteReference"/>
          <w:rFonts w:cs="Times"/>
          <w:lang w:val="en-GB"/>
        </w:rPr>
        <w:footnoteReference w:id="40"/>
      </w:r>
      <w:r w:rsidR="0064522C" w:rsidRPr="00F87C1B">
        <w:rPr>
          <w:rFonts w:cs="Times"/>
          <w:lang w:val="en-GB"/>
        </w:rPr>
        <w:t xml:space="preserve"> </w:t>
      </w:r>
      <w:r w:rsidR="00F61F53" w:rsidRPr="00F87C1B">
        <w:rPr>
          <w:rFonts w:cs="Times"/>
          <w:lang w:val="en-GB"/>
        </w:rPr>
        <w:t>According to the Court, t</w:t>
      </w:r>
      <w:r w:rsidR="0064522C" w:rsidRPr="00F87C1B">
        <w:rPr>
          <w:rFonts w:cs="Times"/>
          <w:lang w:val="en-GB"/>
        </w:rPr>
        <w:t xml:space="preserve">he fact that such </w:t>
      </w:r>
      <w:r w:rsidR="00392E87" w:rsidRPr="00F87C1B">
        <w:rPr>
          <w:rFonts w:cs="Times"/>
          <w:lang w:val="en-GB"/>
        </w:rPr>
        <w:t>a crossing</w:t>
      </w:r>
      <w:r w:rsidR="0064522C" w:rsidRPr="00F87C1B">
        <w:rPr>
          <w:rFonts w:cs="Times"/>
          <w:lang w:val="en-GB"/>
        </w:rPr>
        <w:t xml:space="preserve"> took place in the context of </w:t>
      </w:r>
      <w:r w:rsidR="00392E87" w:rsidRPr="00F87C1B">
        <w:rPr>
          <w:rFonts w:cs="Times"/>
          <w:lang w:val="en-GB"/>
        </w:rPr>
        <w:t>the arrival of an unusually large number of third-country nationals could not affect the irregular character of the crossing.</w:t>
      </w:r>
      <w:r w:rsidR="00392E87" w:rsidRPr="00F87C1B">
        <w:rPr>
          <w:rStyle w:val="FootnoteReference"/>
          <w:rFonts w:cs="Times"/>
          <w:lang w:val="en-GB"/>
        </w:rPr>
        <w:footnoteReference w:id="41"/>
      </w:r>
      <w:r w:rsidR="00392E87" w:rsidRPr="00F87C1B">
        <w:rPr>
          <w:rFonts w:cs="Times"/>
          <w:lang w:val="en-GB"/>
        </w:rPr>
        <w:t xml:space="preserve"> The only instance where the responsibility of the state of irregular crossing could be precluded would be the case where Dublin transfers to that state could lead to a risk of inhuman and degrading treatment of the transferee, within the meaning of Article 4 of the Charter.</w:t>
      </w:r>
      <w:r w:rsidR="0064522C" w:rsidRPr="00F87C1B">
        <w:rPr>
          <w:rStyle w:val="FootnoteReference"/>
          <w:rFonts w:cs="Times"/>
          <w:lang w:val="en-GB"/>
        </w:rPr>
        <w:footnoteReference w:id="42"/>
      </w:r>
      <w:r w:rsidR="00392E87" w:rsidRPr="00F87C1B">
        <w:rPr>
          <w:rFonts w:cs="Times"/>
          <w:lang w:val="en-GB"/>
        </w:rPr>
        <w:t xml:space="preserve"> </w:t>
      </w:r>
    </w:p>
    <w:p w14:paraId="5FDA3385" w14:textId="77777777" w:rsidR="00A5112A" w:rsidRPr="00F87C1B" w:rsidRDefault="00A5112A" w:rsidP="002A442E">
      <w:pPr>
        <w:jc w:val="both"/>
        <w:rPr>
          <w:rFonts w:cs="Times"/>
          <w:lang w:val="en-GB"/>
        </w:rPr>
      </w:pPr>
    </w:p>
    <w:p w14:paraId="50F76496" w14:textId="77777777" w:rsidR="002F61E8" w:rsidRPr="00F87C1B" w:rsidRDefault="001B395E" w:rsidP="002A442E">
      <w:pPr>
        <w:jc w:val="both"/>
        <w:rPr>
          <w:rFonts w:cs="Times"/>
          <w:lang w:val="en-GB"/>
        </w:rPr>
      </w:pPr>
      <w:r w:rsidRPr="00F87C1B">
        <w:rPr>
          <w:rFonts w:cs="Times"/>
          <w:lang w:val="en-GB"/>
        </w:rPr>
        <w:t xml:space="preserve">On the same day the Grand Chamber of the Court of Justice of the European Union delivered its rulings in </w:t>
      </w:r>
      <w:r w:rsidRPr="00D82148">
        <w:rPr>
          <w:rFonts w:cs="Times"/>
          <w:i/>
          <w:lang w:val="en-GB"/>
        </w:rPr>
        <w:t>A.S.</w:t>
      </w:r>
      <w:r w:rsidRPr="00F87C1B">
        <w:rPr>
          <w:rFonts w:cs="Times"/>
          <w:lang w:val="en-GB"/>
        </w:rPr>
        <w:t xml:space="preserve"> and </w:t>
      </w:r>
      <w:proofErr w:type="spellStart"/>
      <w:r w:rsidRPr="00D82148">
        <w:rPr>
          <w:rFonts w:cs="Times"/>
          <w:i/>
          <w:lang w:val="en-GB"/>
        </w:rPr>
        <w:t>Jafari</w:t>
      </w:r>
      <w:proofErr w:type="spellEnd"/>
      <w:r w:rsidRPr="00F87C1B">
        <w:rPr>
          <w:rFonts w:cs="Times"/>
          <w:lang w:val="en-GB"/>
        </w:rPr>
        <w:t xml:space="preserve">, it also pronounced its judgment in </w:t>
      </w:r>
      <w:proofErr w:type="spellStart"/>
      <w:r w:rsidRPr="00D82148">
        <w:rPr>
          <w:rFonts w:cs="Times"/>
          <w:i/>
          <w:lang w:val="en-GB"/>
        </w:rPr>
        <w:t>Mengesteab</w:t>
      </w:r>
      <w:proofErr w:type="spellEnd"/>
      <w:r w:rsidRPr="00F87C1B">
        <w:rPr>
          <w:rFonts w:cs="Times"/>
          <w:lang w:val="en-GB"/>
        </w:rPr>
        <w:t xml:space="preserve">.  </w:t>
      </w:r>
      <w:r w:rsidR="00764561" w:rsidRPr="00F87C1B">
        <w:rPr>
          <w:rFonts w:cs="Times"/>
          <w:lang w:val="en-GB"/>
        </w:rPr>
        <w:t xml:space="preserve">The case concerned Mr </w:t>
      </w:r>
      <w:proofErr w:type="spellStart"/>
      <w:r w:rsidR="00764561" w:rsidRPr="00F87C1B">
        <w:rPr>
          <w:rFonts w:cs="Times"/>
          <w:lang w:val="en-GB"/>
        </w:rPr>
        <w:t>Tsegezab</w:t>
      </w:r>
      <w:proofErr w:type="spellEnd"/>
      <w:r w:rsidR="00764561" w:rsidRPr="00F87C1B">
        <w:rPr>
          <w:rFonts w:cs="Times"/>
          <w:lang w:val="en-GB"/>
        </w:rPr>
        <w:t xml:space="preserve"> </w:t>
      </w:r>
      <w:proofErr w:type="spellStart"/>
      <w:r w:rsidR="00764561" w:rsidRPr="00F87C1B">
        <w:rPr>
          <w:rFonts w:cs="Times"/>
          <w:lang w:val="en-GB"/>
        </w:rPr>
        <w:t>Mengesteab</w:t>
      </w:r>
      <w:proofErr w:type="spellEnd"/>
      <w:r w:rsidR="00764561" w:rsidRPr="00F87C1B">
        <w:rPr>
          <w:rFonts w:cs="Times"/>
          <w:lang w:val="en-GB"/>
        </w:rPr>
        <w:t xml:space="preserve">, an Eritrean national, who requested asylum in Germany on 14 September 2015. On the same day the Upper Bavarian Government issued him </w:t>
      </w:r>
      <w:r w:rsidR="00D82148">
        <w:rPr>
          <w:rFonts w:cs="Times"/>
          <w:lang w:val="en-GB"/>
        </w:rPr>
        <w:t xml:space="preserve">with </w:t>
      </w:r>
      <w:r w:rsidR="00764561" w:rsidRPr="00F87C1B">
        <w:rPr>
          <w:rFonts w:cs="Times"/>
          <w:lang w:val="en-GB"/>
        </w:rPr>
        <w:t xml:space="preserve">a certificate of registration as an asylum seeker. </w:t>
      </w:r>
      <w:r w:rsidR="005F6AA7" w:rsidRPr="00F87C1B">
        <w:rPr>
          <w:rFonts w:cs="Times"/>
          <w:lang w:val="en-GB"/>
        </w:rPr>
        <w:t xml:space="preserve">The German Federal Office for Migration and Refugees - which is responsible for carrying out the obligations arising from the Dublin Regulation – received the original of that certificate, </w:t>
      </w:r>
      <w:r w:rsidR="00D82148">
        <w:rPr>
          <w:rFonts w:cs="Times"/>
          <w:lang w:val="en-GB"/>
        </w:rPr>
        <w:t xml:space="preserve">a </w:t>
      </w:r>
      <w:r w:rsidR="005F6AA7" w:rsidRPr="00F87C1B">
        <w:rPr>
          <w:rFonts w:cs="Times"/>
          <w:lang w:val="en-GB"/>
        </w:rPr>
        <w:t xml:space="preserve">copy of it or the main </w:t>
      </w:r>
      <w:proofErr w:type="gramStart"/>
      <w:r w:rsidR="005F6AA7" w:rsidRPr="00F87C1B">
        <w:rPr>
          <w:rFonts w:cs="Times"/>
          <w:lang w:val="en-GB"/>
        </w:rPr>
        <w:t>information which it contained on or</w:t>
      </w:r>
      <w:proofErr w:type="gramEnd"/>
      <w:r w:rsidR="005F6AA7" w:rsidRPr="00F87C1B">
        <w:rPr>
          <w:rFonts w:cs="Times"/>
          <w:lang w:val="en-GB"/>
        </w:rPr>
        <w:t xml:space="preserve"> before 14 January 2016. On 22 July 2016, </w:t>
      </w:r>
      <w:proofErr w:type="spellStart"/>
      <w:r w:rsidR="005F6AA7" w:rsidRPr="00F87C1B">
        <w:rPr>
          <w:rFonts w:cs="Times"/>
          <w:lang w:val="en-GB"/>
        </w:rPr>
        <w:t>Mr.</w:t>
      </w:r>
      <w:proofErr w:type="spellEnd"/>
      <w:r w:rsidR="005F6AA7" w:rsidRPr="00F87C1B">
        <w:rPr>
          <w:rFonts w:cs="Times"/>
          <w:lang w:val="en-GB"/>
        </w:rPr>
        <w:t xml:space="preserve"> </w:t>
      </w:r>
      <w:proofErr w:type="spellStart"/>
      <w:r w:rsidR="005F6AA7" w:rsidRPr="00F87C1B">
        <w:rPr>
          <w:rFonts w:cs="Times"/>
          <w:lang w:val="en-GB"/>
        </w:rPr>
        <w:t>Mengesteab</w:t>
      </w:r>
      <w:proofErr w:type="spellEnd"/>
      <w:r w:rsidR="005F6AA7" w:rsidRPr="00F87C1B">
        <w:rPr>
          <w:rFonts w:cs="Times"/>
          <w:lang w:val="en-GB"/>
        </w:rPr>
        <w:t xml:space="preserve"> lodged </w:t>
      </w:r>
      <w:r w:rsidR="00D82148">
        <w:rPr>
          <w:rFonts w:cs="Times"/>
          <w:lang w:val="en-GB"/>
        </w:rPr>
        <w:t xml:space="preserve">an </w:t>
      </w:r>
      <w:r w:rsidR="005F6AA7" w:rsidRPr="00F87C1B">
        <w:rPr>
          <w:rFonts w:cs="Times"/>
          <w:lang w:val="en-GB"/>
        </w:rPr>
        <w:t xml:space="preserve">official asylum application before the Office. However, a search in the </w:t>
      </w:r>
      <w:proofErr w:type="spellStart"/>
      <w:r w:rsidR="005F6AA7" w:rsidRPr="00F87C1B">
        <w:rPr>
          <w:rFonts w:cs="Times"/>
          <w:lang w:val="en-GB"/>
        </w:rPr>
        <w:t>Eurodac</w:t>
      </w:r>
      <w:proofErr w:type="spellEnd"/>
      <w:r w:rsidR="005F6AA7" w:rsidRPr="00F87C1B">
        <w:rPr>
          <w:rFonts w:cs="Times"/>
          <w:lang w:val="en-GB"/>
        </w:rPr>
        <w:t xml:space="preserve"> system revealed that </w:t>
      </w:r>
      <w:proofErr w:type="spellStart"/>
      <w:r w:rsidR="00853C91" w:rsidRPr="00F87C1B">
        <w:rPr>
          <w:rFonts w:cs="Times"/>
          <w:lang w:val="en-GB"/>
        </w:rPr>
        <w:t>Mr.</w:t>
      </w:r>
      <w:proofErr w:type="spellEnd"/>
      <w:r w:rsidR="00853C91" w:rsidRPr="00F87C1B">
        <w:rPr>
          <w:rFonts w:cs="Times"/>
          <w:lang w:val="en-GB"/>
        </w:rPr>
        <w:t xml:space="preserve"> </w:t>
      </w:r>
      <w:proofErr w:type="spellStart"/>
      <w:r w:rsidR="00853C91" w:rsidRPr="00F87C1B">
        <w:rPr>
          <w:rFonts w:cs="Times"/>
          <w:lang w:val="en-GB"/>
        </w:rPr>
        <w:t>Mengesteab’s</w:t>
      </w:r>
      <w:proofErr w:type="spellEnd"/>
      <w:r w:rsidR="00853C91" w:rsidRPr="00F87C1B">
        <w:rPr>
          <w:rFonts w:cs="Times"/>
          <w:lang w:val="en-GB"/>
        </w:rPr>
        <w:t xml:space="preserve"> fingerprints had been taken in Italy</w:t>
      </w:r>
      <w:r w:rsidR="00B67514" w:rsidRPr="00F87C1B">
        <w:rPr>
          <w:rFonts w:cs="Times"/>
          <w:lang w:val="en-GB"/>
        </w:rPr>
        <w:t xml:space="preserve">, thus constituting evidence that Italy was the state of first entry into the EU. Consequently, the German authorities requested their Italian counterparts to take charge of </w:t>
      </w:r>
      <w:proofErr w:type="spellStart"/>
      <w:r w:rsidR="00B67514" w:rsidRPr="00F87C1B">
        <w:rPr>
          <w:rFonts w:cs="Times"/>
          <w:lang w:val="en-GB"/>
        </w:rPr>
        <w:t>Mr.</w:t>
      </w:r>
      <w:proofErr w:type="spellEnd"/>
      <w:r w:rsidR="00B67514" w:rsidRPr="00F87C1B">
        <w:rPr>
          <w:rFonts w:cs="Times"/>
          <w:lang w:val="en-GB"/>
        </w:rPr>
        <w:t xml:space="preserve"> </w:t>
      </w:r>
      <w:proofErr w:type="spellStart"/>
      <w:r w:rsidR="00B67514" w:rsidRPr="00F87C1B">
        <w:rPr>
          <w:rFonts w:cs="Times"/>
          <w:lang w:val="en-GB"/>
        </w:rPr>
        <w:t>Mengesteab</w:t>
      </w:r>
      <w:proofErr w:type="spellEnd"/>
      <w:r w:rsidR="00B67514" w:rsidRPr="00F87C1B">
        <w:rPr>
          <w:rFonts w:cs="Times"/>
          <w:lang w:val="en-GB"/>
        </w:rPr>
        <w:t>. The Italian authorities did not respond to the request</w:t>
      </w:r>
      <w:r w:rsidR="002E0C23" w:rsidRPr="00F87C1B">
        <w:rPr>
          <w:rFonts w:cs="Times"/>
          <w:lang w:val="en-GB"/>
        </w:rPr>
        <w:t>,</w:t>
      </w:r>
      <w:r w:rsidR="00B67514" w:rsidRPr="00F87C1B">
        <w:rPr>
          <w:rFonts w:cs="Times"/>
          <w:lang w:val="en-GB"/>
        </w:rPr>
        <w:t xml:space="preserve"> which was equivalent to their acceptance, based on the Dublin Regulation. </w:t>
      </w:r>
      <w:r w:rsidR="002F61E8" w:rsidRPr="00F87C1B">
        <w:rPr>
          <w:rFonts w:cs="Times"/>
          <w:lang w:val="en-GB"/>
        </w:rPr>
        <w:t xml:space="preserve">The German Federal Office, therefore, rejected </w:t>
      </w:r>
      <w:proofErr w:type="spellStart"/>
      <w:r w:rsidR="002F61E8" w:rsidRPr="00F87C1B">
        <w:rPr>
          <w:rFonts w:cs="Times"/>
          <w:lang w:val="en-GB"/>
        </w:rPr>
        <w:t>Mr.</w:t>
      </w:r>
      <w:proofErr w:type="spellEnd"/>
      <w:r w:rsidR="002F61E8" w:rsidRPr="00F87C1B">
        <w:rPr>
          <w:rFonts w:cs="Times"/>
          <w:lang w:val="en-GB"/>
        </w:rPr>
        <w:t xml:space="preserve"> </w:t>
      </w:r>
      <w:proofErr w:type="spellStart"/>
      <w:r w:rsidR="002F61E8" w:rsidRPr="00F87C1B">
        <w:rPr>
          <w:rFonts w:cs="Times"/>
          <w:lang w:val="en-GB"/>
        </w:rPr>
        <w:t>Mengesteab’s</w:t>
      </w:r>
      <w:proofErr w:type="spellEnd"/>
      <w:r w:rsidR="002F61E8" w:rsidRPr="00F87C1B">
        <w:rPr>
          <w:rFonts w:cs="Times"/>
          <w:lang w:val="en-GB"/>
        </w:rPr>
        <w:t xml:space="preserve"> asylum application and ordered his transfer to Italy. </w:t>
      </w:r>
      <w:proofErr w:type="spellStart"/>
      <w:r w:rsidR="002F61E8" w:rsidRPr="00F87C1B">
        <w:rPr>
          <w:rFonts w:cs="Times"/>
          <w:lang w:val="en-GB"/>
        </w:rPr>
        <w:t>Mr.</w:t>
      </w:r>
      <w:proofErr w:type="spellEnd"/>
      <w:r w:rsidR="002F61E8" w:rsidRPr="00F87C1B">
        <w:rPr>
          <w:rFonts w:cs="Times"/>
          <w:lang w:val="en-GB"/>
        </w:rPr>
        <w:t xml:space="preserve"> </w:t>
      </w:r>
      <w:proofErr w:type="spellStart"/>
      <w:r w:rsidR="002F61E8" w:rsidRPr="00F87C1B">
        <w:rPr>
          <w:rFonts w:cs="Times"/>
          <w:lang w:val="en-GB"/>
        </w:rPr>
        <w:t>Mengesteab</w:t>
      </w:r>
      <w:proofErr w:type="spellEnd"/>
      <w:r w:rsidR="002F61E8" w:rsidRPr="00F87C1B">
        <w:rPr>
          <w:rFonts w:cs="Times"/>
          <w:lang w:val="en-GB"/>
        </w:rPr>
        <w:t xml:space="preserve"> challenged the decision before the Administrative Court, claiming that his asylum request had been transferred to Germany, as the take</w:t>
      </w:r>
      <w:r w:rsidR="00D82148">
        <w:rPr>
          <w:rFonts w:cs="Times"/>
          <w:lang w:val="en-GB"/>
        </w:rPr>
        <w:t>-</w:t>
      </w:r>
      <w:r w:rsidR="002F61E8" w:rsidRPr="00F87C1B">
        <w:rPr>
          <w:rFonts w:cs="Times"/>
          <w:lang w:val="en-GB"/>
        </w:rPr>
        <w:t xml:space="preserve">charge request had been made after the expiry of the three-month period provided in the Dublin Regulation. </w:t>
      </w:r>
      <w:r w:rsidR="0001619E" w:rsidRPr="00F87C1B">
        <w:rPr>
          <w:rFonts w:cs="Times"/>
          <w:lang w:val="en-GB"/>
        </w:rPr>
        <w:t xml:space="preserve">In those circumstances, the Administrative Court decided to stay the proceedings and make a preliminary reference to the Court of Justice. </w:t>
      </w:r>
    </w:p>
    <w:p w14:paraId="3DDA9E37" w14:textId="77777777" w:rsidR="0001619E" w:rsidRPr="00F87C1B" w:rsidRDefault="0001619E" w:rsidP="002A442E">
      <w:pPr>
        <w:jc w:val="both"/>
        <w:rPr>
          <w:rFonts w:cs="Times"/>
          <w:lang w:val="en-GB"/>
        </w:rPr>
      </w:pPr>
    </w:p>
    <w:p w14:paraId="06F48803" w14:textId="77777777" w:rsidR="00543107" w:rsidRPr="00F87C1B" w:rsidRDefault="006A718A" w:rsidP="00281D09">
      <w:pPr>
        <w:jc w:val="both"/>
        <w:rPr>
          <w:rFonts w:cs="Times"/>
          <w:lang w:val="en-GB"/>
        </w:rPr>
      </w:pPr>
      <w:r w:rsidRPr="00F87C1B">
        <w:rPr>
          <w:rFonts w:cs="Times"/>
          <w:lang w:val="en-GB"/>
        </w:rPr>
        <w:t xml:space="preserve">The Court of Justice first ascertained that </w:t>
      </w:r>
      <w:r w:rsidR="006C040F" w:rsidRPr="00F87C1B">
        <w:rPr>
          <w:rFonts w:cs="Times"/>
          <w:lang w:val="en-GB"/>
        </w:rPr>
        <w:t xml:space="preserve">the asylum applicant </w:t>
      </w:r>
      <w:proofErr w:type="gramStart"/>
      <w:r w:rsidR="006C040F" w:rsidRPr="00F87C1B">
        <w:rPr>
          <w:rFonts w:cs="Times"/>
          <w:lang w:val="en-GB"/>
        </w:rPr>
        <w:t>may</w:t>
      </w:r>
      <w:proofErr w:type="gramEnd"/>
      <w:r w:rsidR="006C040F" w:rsidRPr="00F87C1B">
        <w:rPr>
          <w:rFonts w:cs="Times"/>
          <w:lang w:val="en-GB"/>
        </w:rPr>
        <w:t xml:space="preserve"> rely on the expiry of the three-month period, even if the requested Member State is willing to take charge of him.</w:t>
      </w:r>
      <w:r w:rsidR="006C040F" w:rsidRPr="00F87C1B">
        <w:rPr>
          <w:rStyle w:val="FootnoteReference"/>
          <w:rFonts w:cs="Times"/>
          <w:lang w:val="en-GB"/>
        </w:rPr>
        <w:footnoteReference w:id="43"/>
      </w:r>
      <w:r w:rsidR="006C040F" w:rsidRPr="00F87C1B">
        <w:rPr>
          <w:rFonts w:cs="Times"/>
          <w:lang w:val="en-GB"/>
        </w:rPr>
        <w:t xml:space="preserve"> </w:t>
      </w:r>
      <w:r w:rsidR="008A73B5" w:rsidRPr="00F87C1B">
        <w:rPr>
          <w:rFonts w:cs="Times"/>
          <w:lang w:val="en-GB"/>
        </w:rPr>
        <w:t>The Court then continued by stating that a take</w:t>
      </w:r>
      <w:r w:rsidR="00D82148">
        <w:rPr>
          <w:rFonts w:cs="Times"/>
          <w:lang w:val="en-GB"/>
        </w:rPr>
        <w:t>-</w:t>
      </w:r>
      <w:r w:rsidR="008A73B5" w:rsidRPr="00F87C1B">
        <w:rPr>
          <w:rFonts w:cs="Times"/>
          <w:lang w:val="en-GB"/>
        </w:rPr>
        <w:t xml:space="preserve">charge request cannot legitimately be made more than three months after the asylum application has been lodged, even if the request is made within two months of a receipt of a </w:t>
      </w:r>
      <w:proofErr w:type="spellStart"/>
      <w:r w:rsidR="008A73B5" w:rsidRPr="00F87C1B">
        <w:rPr>
          <w:rFonts w:cs="Times"/>
          <w:lang w:val="en-GB"/>
        </w:rPr>
        <w:t>Eurodac</w:t>
      </w:r>
      <w:proofErr w:type="spellEnd"/>
      <w:r w:rsidR="008A73B5" w:rsidRPr="00F87C1B">
        <w:rPr>
          <w:rFonts w:cs="Times"/>
          <w:lang w:val="en-GB"/>
        </w:rPr>
        <w:t xml:space="preserve"> hit.</w:t>
      </w:r>
      <w:r w:rsidR="008A73B5" w:rsidRPr="00F87C1B">
        <w:rPr>
          <w:rStyle w:val="FootnoteReference"/>
          <w:rFonts w:cs="Times"/>
          <w:lang w:val="en-GB"/>
        </w:rPr>
        <w:footnoteReference w:id="44"/>
      </w:r>
      <w:r w:rsidR="008A73B5" w:rsidRPr="00F87C1B">
        <w:rPr>
          <w:rFonts w:cs="Times"/>
          <w:lang w:val="en-GB"/>
        </w:rPr>
        <w:t xml:space="preserve"> </w:t>
      </w:r>
      <w:r w:rsidR="00543107" w:rsidRPr="00F87C1B">
        <w:rPr>
          <w:rFonts w:cs="Times"/>
          <w:lang w:val="en-GB"/>
        </w:rPr>
        <w:t>Finally and most importantly, the Court concluded that an asylum application “is deemed to have been lodged if a written document, prepared by a public authority and certifying that a third-country national has requested international protection, has reached” the responsible authority</w:t>
      </w:r>
      <w:r w:rsidR="00281D09" w:rsidRPr="00F87C1B">
        <w:rPr>
          <w:rFonts w:cs="Times"/>
          <w:lang w:val="en-GB"/>
        </w:rPr>
        <w:t xml:space="preserve"> or “if only the main information contained in such a document, but not the document or a copy thereof, has reached that authority”.</w:t>
      </w:r>
      <w:r w:rsidR="00281D09" w:rsidRPr="00F87C1B">
        <w:rPr>
          <w:rStyle w:val="FootnoteReference"/>
          <w:rFonts w:cs="Times"/>
          <w:lang w:val="en-GB"/>
        </w:rPr>
        <w:footnoteReference w:id="45"/>
      </w:r>
      <w:r w:rsidR="00281D09" w:rsidRPr="00F87C1B">
        <w:rPr>
          <w:rFonts w:cs="Times"/>
          <w:lang w:val="en-GB"/>
        </w:rPr>
        <w:t xml:space="preserve"> </w:t>
      </w:r>
    </w:p>
    <w:p w14:paraId="6E12A15F" w14:textId="77777777" w:rsidR="0001619E" w:rsidRPr="00F87C1B" w:rsidRDefault="0001619E" w:rsidP="002A442E">
      <w:pPr>
        <w:jc w:val="both"/>
        <w:rPr>
          <w:rFonts w:cs="Times"/>
          <w:lang w:val="en-GB"/>
        </w:rPr>
      </w:pPr>
    </w:p>
    <w:p w14:paraId="5BC5A1E3" w14:textId="77777777" w:rsidR="00B948F2" w:rsidRPr="00F87C1B" w:rsidRDefault="00B948F2" w:rsidP="002A442E">
      <w:pPr>
        <w:jc w:val="both"/>
        <w:rPr>
          <w:rFonts w:cs="Times"/>
          <w:lang w:val="en-GB"/>
        </w:rPr>
      </w:pPr>
    </w:p>
    <w:p w14:paraId="47E05C5A" w14:textId="77777777" w:rsidR="00B948F2" w:rsidRPr="00F87C1B" w:rsidRDefault="00B948F2" w:rsidP="001F49DD">
      <w:pPr>
        <w:ind w:left="426" w:hanging="426"/>
        <w:outlineLvl w:val="0"/>
        <w:rPr>
          <w:b/>
          <w:lang w:val="en-GB"/>
        </w:rPr>
      </w:pPr>
      <w:r w:rsidRPr="00F87C1B">
        <w:rPr>
          <w:b/>
          <w:lang w:val="en-GB"/>
        </w:rPr>
        <w:t xml:space="preserve">4.4. Effects of </w:t>
      </w:r>
      <w:r w:rsidRPr="00F87C1B">
        <w:rPr>
          <w:b/>
          <w:i/>
          <w:lang w:val="en-GB"/>
        </w:rPr>
        <w:t xml:space="preserve">A.S. </w:t>
      </w:r>
      <w:r w:rsidRPr="00255886">
        <w:rPr>
          <w:b/>
          <w:lang w:val="en-GB"/>
        </w:rPr>
        <w:t>and</w:t>
      </w:r>
      <w:r w:rsidRPr="00F87C1B">
        <w:rPr>
          <w:b/>
          <w:i/>
          <w:lang w:val="en-GB"/>
        </w:rPr>
        <w:t xml:space="preserve"> </w:t>
      </w:r>
      <w:proofErr w:type="spellStart"/>
      <w:r w:rsidRPr="00F87C1B">
        <w:rPr>
          <w:b/>
          <w:i/>
          <w:lang w:val="en-GB"/>
        </w:rPr>
        <w:t>Jafari</w:t>
      </w:r>
      <w:proofErr w:type="spellEnd"/>
      <w:r w:rsidR="00983C06" w:rsidRPr="00F87C1B">
        <w:rPr>
          <w:b/>
          <w:lang w:val="en-GB"/>
        </w:rPr>
        <w:t xml:space="preserve"> and</w:t>
      </w:r>
      <w:r w:rsidRPr="00F87C1B">
        <w:rPr>
          <w:b/>
          <w:lang w:val="en-GB"/>
        </w:rPr>
        <w:t xml:space="preserve"> </w:t>
      </w:r>
      <w:proofErr w:type="spellStart"/>
      <w:r w:rsidRPr="00F87C1B">
        <w:rPr>
          <w:b/>
          <w:i/>
          <w:lang w:val="en-GB"/>
        </w:rPr>
        <w:t>Mengesteab</w:t>
      </w:r>
      <w:proofErr w:type="spellEnd"/>
      <w:r w:rsidRPr="00F87C1B">
        <w:rPr>
          <w:b/>
          <w:lang w:val="en-GB"/>
        </w:rPr>
        <w:t xml:space="preserve"> on Croatia and on </w:t>
      </w:r>
      <w:r w:rsidR="00CB3FD2">
        <w:rPr>
          <w:b/>
          <w:lang w:val="en-GB"/>
        </w:rPr>
        <w:t xml:space="preserve">the </w:t>
      </w:r>
      <w:r w:rsidRPr="00F87C1B">
        <w:rPr>
          <w:b/>
          <w:lang w:val="en-GB"/>
        </w:rPr>
        <w:t>Further Development of EU Asylum Law</w:t>
      </w:r>
    </w:p>
    <w:p w14:paraId="0543CF33" w14:textId="77777777" w:rsidR="00B948F2" w:rsidRPr="00F87C1B" w:rsidRDefault="00B948F2" w:rsidP="002A442E">
      <w:pPr>
        <w:jc w:val="both"/>
        <w:rPr>
          <w:rFonts w:cs="Times"/>
          <w:lang w:val="en-GB"/>
        </w:rPr>
      </w:pPr>
    </w:p>
    <w:p w14:paraId="15709D97" w14:textId="77777777" w:rsidR="00975C18" w:rsidRPr="00F87C1B" w:rsidRDefault="00431249" w:rsidP="004C511C">
      <w:pPr>
        <w:jc w:val="both"/>
        <w:rPr>
          <w:rFonts w:cs="Times"/>
          <w:lang w:val="en-GB"/>
        </w:rPr>
      </w:pPr>
      <w:r w:rsidRPr="00F87C1B">
        <w:rPr>
          <w:rFonts w:cs="Times"/>
          <w:lang w:val="en-GB"/>
        </w:rPr>
        <w:t xml:space="preserve">Even </w:t>
      </w:r>
      <w:r w:rsidR="00C918FA" w:rsidRPr="00F87C1B">
        <w:rPr>
          <w:rFonts w:cs="Times"/>
          <w:lang w:val="en-GB"/>
        </w:rPr>
        <w:t xml:space="preserve">though the Court </w:t>
      </w:r>
      <w:r w:rsidR="009C71E9">
        <w:rPr>
          <w:rFonts w:cs="Times"/>
          <w:lang w:val="en-GB"/>
        </w:rPr>
        <w:t>–</w:t>
      </w:r>
      <w:r w:rsidR="00C918FA" w:rsidRPr="00F87C1B">
        <w:rPr>
          <w:rFonts w:cs="Times"/>
          <w:lang w:val="en-GB"/>
        </w:rPr>
        <w:t xml:space="preserve"> obviously intentionally </w:t>
      </w:r>
      <w:r w:rsidR="004C511C" w:rsidRPr="00F87C1B">
        <w:rPr>
          <w:rFonts w:cs="Times"/>
          <w:lang w:val="en-GB"/>
        </w:rPr>
        <w:t>–</w:t>
      </w:r>
      <w:r w:rsidR="00F568ED" w:rsidRPr="00F87C1B">
        <w:rPr>
          <w:rFonts w:cs="Times"/>
          <w:lang w:val="en-GB"/>
        </w:rPr>
        <w:t xml:space="preserve"> </w:t>
      </w:r>
      <w:r w:rsidR="004C511C" w:rsidRPr="00F87C1B">
        <w:rPr>
          <w:rFonts w:cs="Times"/>
          <w:lang w:val="en-GB"/>
        </w:rPr>
        <w:t>tried not</w:t>
      </w:r>
      <w:r w:rsidR="00F568ED" w:rsidRPr="00F87C1B">
        <w:rPr>
          <w:rFonts w:cs="Times"/>
          <w:lang w:val="en-GB"/>
        </w:rPr>
        <w:t xml:space="preserve"> to name any Member State and explicitly incriminate Croatia, in </w:t>
      </w:r>
      <w:proofErr w:type="gramStart"/>
      <w:r w:rsidR="00F568ED" w:rsidRPr="00F87C1B">
        <w:rPr>
          <w:rFonts w:cs="Times"/>
          <w:lang w:val="en-GB"/>
        </w:rPr>
        <w:t>its</w:t>
      </w:r>
      <w:proofErr w:type="gramEnd"/>
      <w:r w:rsidR="00F568ED" w:rsidRPr="00F87C1B">
        <w:rPr>
          <w:rFonts w:cs="Times"/>
          <w:lang w:val="en-GB"/>
        </w:rPr>
        <w:t xml:space="preserve"> ruling in </w:t>
      </w:r>
      <w:proofErr w:type="spellStart"/>
      <w:r w:rsidR="00F568ED" w:rsidRPr="00F87C1B">
        <w:rPr>
          <w:rFonts w:cs="Times"/>
          <w:i/>
          <w:lang w:val="en-GB"/>
        </w:rPr>
        <w:t>Jafari</w:t>
      </w:r>
      <w:proofErr w:type="spellEnd"/>
      <w:r w:rsidR="00975C18" w:rsidRPr="00F87C1B">
        <w:rPr>
          <w:rFonts w:cs="Times"/>
          <w:lang w:val="en-GB"/>
        </w:rPr>
        <w:t>,</w:t>
      </w:r>
      <w:r w:rsidR="00F568ED" w:rsidRPr="00F87C1B">
        <w:rPr>
          <w:rFonts w:cs="Times"/>
          <w:lang w:val="en-GB"/>
        </w:rPr>
        <w:t xml:space="preserve"> it referred to Croatia</w:t>
      </w:r>
      <w:r w:rsidR="00C918FA" w:rsidRPr="00F87C1B">
        <w:rPr>
          <w:rFonts w:cs="Times"/>
          <w:lang w:val="en-GB"/>
        </w:rPr>
        <w:t xml:space="preserve"> as </w:t>
      </w:r>
      <w:r w:rsidR="00C918FA" w:rsidRPr="00F87C1B">
        <w:rPr>
          <w:rFonts w:cs="Times"/>
          <w:i/>
          <w:lang w:val="en-GB"/>
        </w:rPr>
        <w:t>the</w:t>
      </w:r>
      <w:r w:rsidR="00C918FA" w:rsidRPr="00F87C1B">
        <w:rPr>
          <w:rFonts w:cs="Times"/>
          <w:lang w:val="en-GB"/>
        </w:rPr>
        <w:t xml:space="preserve"> Member State whose border migrants were crossing irregularly, according to the Schengen Borders Code.</w:t>
      </w:r>
      <w:r w:rsidR="00C918FA" w:rsidRPr="00F87C1B">
        <w:rPr>
          <w:rStyle w:val="FootnoteReference"/>
          <w:rFonts w:cs="Times"/>
          <w:lang w:val="en-GB"/>
        </w:rPr>
        <w:footnoteReference w:id="46"/>
      </w:r>
      <w:r w:rsidR="00C918FA" w:rsidRPr="00F87C1B">
        <w:rPr>
          <w:rFonts w:cs="Times"/>
          <w:lang w:val="en-GB"/>
        </w:rPr>
        <w:t xml:space="preserve"> </w:t>
      </w:r>
      <w:r w:rsidR="00B552A1" w:rsidRPr="00F87C1B">
        <w:rPr>
          <w:rFonts w:cs="Times"/>
          <w:lang w:val="en-GB"/>
        </w:rPr>
        <w:t xml:space="preserve">The Court’s deliberate decision to take a </w:t>
      </w:r>
      <w:r w:rsidR="00983C06" w:rsidRPr="00F87C1B">
        <w:rPr>
          <w:rFonts w:cs="Times"/>
          <w:lang w:val="en-GB"/>
        </w:rPr>
        <w:t>strict, narrow</w:t>
      </w:r>
      <w:r w:rsidR="00B552A1" w:rsidRPr="00F87C1B">
        <w:rPr>
          <w:rFonts w:cs="Times"/>
          <w:lang w:val="en-GB"/>
        </w:rPr>
        <w:t xml:space="preserve"> reading of the Dublin and Schengen rules </w:t>
      </w:r>
      <w:r w:rsidR="009C71E9">
        <w:rPr>
          <w:rFonts w:cs="Times"/>
          <w:lang w:val="en-GB"/>
        </w:rPr>
        <w:t>–</w:t>
      </w:r>
      <w:r w:rsidR="00B552A1" w:rsidRPr="00F87C1B">
        <w:rPr>
          <w:rFonts w:cs="Times"/>
          <w:lang w:val="en-GB"/>
        </w:rPr>
        <w:t xml:space="preserve"> without leaving any room for exceptions caused </w:t>
      </w:r>
      <w:r w:rsidR="00E2042F" w:rsidRPr="00F87C1B">
        <w:rPr>
          <w:rFonts w:cs="Times"/>
          <w:lang w:val="en-GB"/>
        </w:rPr>
        <w:t xml:space="preserve">by extraordinary circumstances </w:t>
      </w:r>
      <w:r w:rsidR="009C71E9">
        <w:rPr>
          <w:rFonts w:cs="Times"/>
          <w:lang w:val="en-GB"/>
        </w:rPr>
        <w:t>–</w:t>
      </w:r>
      <w:r w:rsidR="00B552A1" w:rsidRPr="00F87C1B">
        <w:rPr>
          <w:rFonts w:cs="Times"/>
          <w:lang w:val="en-GB"/>
        </w:rPr>
        <w:t xml:space="preserve"> sends a clear message that the Western Balkans route was illegal under EU law. According to the Court, the exceptional number of migrants on the route could not legitimi</w:t>
      </w:r>
      <w:r w:rsidR="009C71E9">
        <w:rPr>
          <w:rFonts w:cs="Times"/>
          <w:lang w:val="en-GB"/>
        </w:rPr>
        <w:t>s</w:t>
      </w:r>
      <w:r w:rsidR="00B552A1" w:rsidRPr="00F87C1B">
        <w:rPr>
          <w:rFonts w:cs="Times"/>
          <w:lang w:val="en-GB"/>
        </w:rPr>
        <w:t xml:space="preserve">e the route and justify the Member States’ disrespect of the Dublin Regulation and the Schengen Borders Code. </w:t>
      </w:r>
    </w:p>
    <w:p w14:paraId="1C5A56F7" w14:textId="77777777" w:rsidR="00975C18" w:rsidRPr="00F87C1B" w:rsidRDefault="00975C18" w:rsidP="004C511C">
      <w:pPr>
        <w:jc w:val="both"/>
        <w:rPr>
          <w:rFonts w:cs="Times"/>
          <w:lang w:val="en-GB"/>
        </w:rPr>
      </w:pPr>
    </w:p>
    <w:p w14:paraId="50C7028B" w14:textId="77777777" w:rsidR="00975C18" w:rsidRPr="00F87C1B" w:rsidRDefault="00975C18" w:rsidP="00975C18">
      <w:pPr>
        <w:jc w:val="both"/>
        <w:rPr>
          <w:rFonts w:cs="Times"/>
          <w:highlight w:val="yellow"/>
          <w:lang w:val="en-GB"/>
        </w:rPr>
      </w:pPr>
      <w:r w:rsidRPr="00F87C1B">
        <w:rPr>
          <w:rFonts w:cs="Times"/>
          <w:lang w:val="en-GB"/>
        </w:rPr>
        <w:t xml:space="preserve">The Court’s logic, which implicitly incriminated Croatia, relied on the premise that the relevant criterion for determining the responsible Member State is the criterion of </w:t>
      </w:r>
      <w:r w:rsidR="009C71E9">
        <w:rPr>
          <w:rFonts w:cs="Times"/>
          <w:lang w:val="en-GB"/>
        </w:rPr>
        <w:t>“</w:t>
      </w:r>
      <w:r w:rsidRPr="00F87C1B">
        <w:rPr>
          <w:rFonts w:cs="Times"/>
          <w:lang w:val="en-GB"/>
        </w:rPr>
        <w:t>irregular crossing</w:t>
      </w:r>
      <w:r w:rsidR="009C71E9">
        <w:rPr>
          <w:rFonts w:cs="Times"/>
          <w:lang w:val="en-GB"/>
        </w:rPr>
        <w:t>”</w:t>
      </w:r>
      <w:r w:rsidRPr="00F87C1B">
        <w:rPr>
          <w:rFonts w:cs="Times"/>
          <w:lang w:val="en-GB"/>
        </w:rPr>
        <w:t xml:space="preserve">. In both </w:t>
      </w:r>
      <w:r w:rsidR="001A3D68" w:rsidRPr="00F87C1B">
        <w:rPr>
          <w:rFonts w:cs="Times"/>
          <w:i/>
          <w:lang w:val="en-GB"/>
        </w:rPr>
        <w:t xml:space="preserve">A.S. </w:t>
      </w:r>
      <w:r w:rsidR="001A3D68" w:rsidRPr="00255886">
        <w:rPr>
          <w:rFonts w:cs="Times"/>
          <w:lang w:val="en-GB"/>
        </w:rPr>
        <w:t>and</w:t>
      </w:r>
      <w:r w:rsidR="001A3D68" w:rsidRPr="00F87C1B">
        <w:rPr>
          <w:rFonts w:cs="Times"/>
          <w:i/>
          <w:lang w:val="en-GB"/>
        </w:rPr>
        <w:t xml:space="preserve"> </w:t>
      </w:r>
      <w:proofErr w:type="spellStart"/>
      <w:r w:rsidR="001A3D68" w:rsidRPr="00F87C1B">
        <w:rPr>
          <w:rFonts w:cs="Times"/>
          <w:i/>
          <w:lang w:val="en-GB"/>
        </w:rPr>
        <w:t>Jafari</w:t>
      </w:r>
      <w:proofErr w:type="spellEnd"/>
      <w:r w:rsidRPr="00F87C1B">
        <w:rPr>
          <w:rFonts w:cs="Times"/>
          <w:lang w:val="en-GB"/>
        </w:rPr>
        <w:t xml:space="preserve">, </w:t>
      </w:r>
      <w:r w:rsidR="009C71E9">
        <w:rPr>
          <w:rFonts w:cs="Times"/>
          <w:lang w:val="en-GB"/>
        </w:rPr>
        <w:t xml:space="preserve">the </w:t>
      </w:r>
      <w:r w:rsidRPr="00F87C1B">
        <w:rPr>
          <w:rFonts w:cs="Times"/>
          <w:lang w:val="en-GB"/>
        </w:rPr>
        <w:t xml:space="preserve">third-country nationals in questions first irregularly crossed the EU external borders in Greece. However, Greece could not be responsible due to </w:t>
      </w:r>
      <w:r w:rsidR="009C71E9">
        <w:rPr>
          <w:rFonts w:cs="Times"/>
          <w:lang w:val="en-GB"/>
        </w:rPr>
        <w:t xml:space="preserve">the </w:t>
      </w:r>
      <w:r w:rsidRPr="00F87C1B">
        <w:rPr>
          <w:rFonts w:cs="Times"/>
          <w:lang w:val="en-GB"/>
        </w:rPr>
        <w:t xml:space="preserve">systemic deficiencies in its asylum system. Even though in neither case </w:t>
      </w:r>
      <w:r w:rsidR="009C71E9">
        <w:rPr>
          <w:rFonts w:cs="Times"/>
          <w:lang w:val="en-GB"/>
        </w:rPr>
        <w:t xml:space="preserve">did </w:t>
      </w:r>
      <w:r w:rsidRPr="00F87C1B">
        <w:rPr>
          <w:rFonts w:cs="Times"/>
          <w:lang w:val="en-GB"/>
        </w:rPr>
        <w:t xml:space="preserve">the Court explicitly name the responsible Member State, in both cases it thoroughly discussed and defined the criterion of </w:t>
      </w:r>
      <w:r w:rsidR="009C71E9">
        <w:rPr>
          <w:rFonts w:cs="Times"/>
          <w:lang w:val="en-GB"/>
        </w:rPr>
        <w:t>“</w:t>
      </w:r>
      <w:r w:rsidRPr="00F87C1B">
        <w:rPr>
          <w:rFonts w:cs="Times"/>
          <w:lang w:val="en-GB"/>
        </w:rPr>
        <w:t>irregular crossing</w:t>
      </w:r>
      <w:r w:rsidR="009C71E9">
        <w:rPr>
          <w:rFonts w:cs="Times"/>
          <w:lang w:val="en-GB"/>
        </w:rPr>
        <w:t>”</w:t>
      </w:r>
      <w:r w:rsidRPr="00F87C1B">
        <w:rPr>
          <w:rFonts w:cs="Times"/>
          <w:lang w:val="en-GB"/>
        </w:rPr>
        <w:t xml:space="preserve">. It can therefore be presumed that the Court implicitly agreed with the application of the criterion of </w:t>
      </w:r>
      <w:r w:rsidR="009C71E9">
        <w:rPr>
          <w:rFonts w:cs="Times"/>
          <w:lang w:val="en-GB"/>
        </w:rPr>
        <w:t>“</w:t>
      </w:r>
      <w:r w:rsidRPr="00F87C1B">
        <w:rPr>
          <w:rFonts w:cs="Times"/>
          <w:lang w:val="en-GB"/>
        </w:rPr>
        <w:t>irregular crossing</w:t>
      </w:r>
      <w:r w:rsidR="009C71E9">
        <w:rPr>
          <w:rFonts w:cs="Times"/>
          <w:lang w:val="en-GB"/>
        </w:rPr>
        <w:t>”</w:t>
      </w:r>
      <w:r w:rsidRPr="00F87C1B">
        <w:rPr>
          <w:rFonts w:cs="Times"/>
          <w:lang w:val="en-GB"/>
        </w:rPr>
        <w:t xml:space="preserve"> as the correct one for A.S. and </w:t>
      </w:r>
      <w:r w:rsidR="009C71E9">
        <w:rPr>
          <w:rFonts w:cs="Times"/>
          <w:lang w:val="en-GB"/>
        </w:rPr>
        <w:t xml:space="preserve">for </w:t>
      </w:r>
      <w:r w:rsidRPr="00F87C1B">
        <w:rPr>
          <w:rFonts w:cs="Times"/>
          <w:lang w:val="en-GB"/>
        </w:rPr>
        <w:t xml:space="preserve">the </w:t>
      </w:r>
      <w:proofErr w:type="spellStart"/>
      <w:r w:rsidRPr="00F87C1B">
        <w:rPr>
          <w:rFonts w:cs="Times"/>
          <w:lang w:val="en-GB"/>
        </w:rPr>
        <w:t>Jafari</w:t>
      </w:r>
      <w:proofErr w:type="spellEnd"/>
      <w:r w:rsidRPr="00F87C1B">
        <w:rPr>
          <w:rFonts w:cs="Times"/>
          <w:lang w:val="en-GB"/>
        </w:rPr>
        <w:t xml:space="preserve"> sisters and for the developments on the Western Balkans route in general. Consequently, the </w:t>
      </w:r>
      <w:proofErr w:type="gramStart"/>
      <w:r w:rsidRPr="00F87C1B">
        <w:rPr>
          <w:rFonts w:cs="Times"/>
          <w:lang w:val="en-GB"/>
        </w:rPr>
        <w:t>Court’s reasoning</w:t>
      </w:r>
      <w:proofErr w:type="gramEnd"/>
      <w:r w:rsidRPr="00F87C1B">
        <w:rPr>
          <w:rFonts w:cs="Times"/>
          <w:lang w:val="en-GB"/>
        </w:rPr>
        <w:t xml:space="preserve"> leads to the conclusion that Croatia was the responsible Member State in both cases. </w:t>
      </w:r>
    </w:p>
    <w:p w14:paraId="7DB96CE7" w14:textId="77777777" w:rsidR="00975C18" w:rsidRPr="00F87C1B" w:rsidRDefault="00975C18" w:rsidP="004C511C">
      <w:pPr>
        <w:jc w:val="both"/>
        <w:rPr>
          <w:rFonts w:cs="Times"/>
          <w:lang w:val="en-GB"/>
        </w:rPr>
      </w:pPr>
    </w:p>
    <w:p w14:paraId="4D93D506" w14:textId="77777777" w:rsidR="00722F3E" w:rsidRPr="00F87C1B" w:rsidRDefault="00975C18" w:rsidP="00975C18">
      <w:pPr>
        <w:jc w:val="both"/>
        <w:rPr>
          <w:rFonts w:cs="Times"/>
          <w:lang w:val="en-GB"/>
        </w:rPr>
      </w:pPr>
      <w:r w:rsidRPr="00F87C1B">
        <w:rPr>
          <w:rFonts w:cs="Times"/>
          <w:lang w:val="en-GB"/>
        </w:rPr>
        <w:t xml:space="preserve">However, the Court’s automatic presumption </w:t>
      </w:r>
      <w:r w:rsidR="001A3D68" w:rsidRPr="00F87C1B">
        <w:rPr>
          <w:rFonts w:cs="Times"/>
          <w:lang w:val="en-GB"/>
        </w:rPr>
        <w:t>of</w:t>
      </w:r>
      <w:r w:rsidRPr="00F87C1B">
        <w:rPr>
          <w:rFonts w:cs="Times"/>
          <w:lang w:val="en-GB"/>
        </w:rPr>
        <w:t xml:space="preserve"> Croatia</w:t>
      </w:r>
      <w:r w:rsidR="001A3D68" w:rsidRPr="00F87C1B">
        <w:rPr>
          <w:rFonts w:cs="Times"/>
          <w:lang w:val="en-GB"/>
        </w:rPr>
        <w:t>’s</w:t>
      </w:r>
      <w:r w:rsidRPr="00F87C1B">
        <w:rPr>
          <w:rFonts w:cs="Times"/>
          <w:lang w:val="en-GB"/>
        </w:rPr>
        <w:t xml:space="preserve"> </w:t>
      </w:r>
      <w:r w:rsidR="001A3D68" w:rsidRPr="00F87C1B">
        <w:rPr>
          <w:rFonts w:cs="Times"/>
          <w:lang w:val="en-GB"/>
        </w:rPr>
        <w:t>responsibility</w:t>
      </w:r>
      <w:r w:rsidR="000A3EE7">
        <w:rPr>
          <w:rFonts w:cs="Times"/>
          <w:lang w:val="en-GB"/>
        </w:rPr>
        <w:t xml:space="preserve"> is rebuttable</w:t>
      </w:r>
      <w:r w:rsidRPr="00F87C1B">
        <w:rPr>
          <w:rFonts w:cs="Times"/>
          <w:lang w:val="en-GB"/>
        </w:rPr>
        <w:t xml:space="preserve">. As suggested by AG </w:t>
      </w:r>
      <w:proofErr w:type="spellStart"/>
      <w:r w:rsidRPr="00F87C1B">
        <w:rPr>
          <w:rFonts w:cs="Times"/>
          <w:lang w:val="en-GB"/>
        </w:rPr>
        <w:t>Villal</w:t>
      </w:r>
      <w:r w:rsidRPr="00F87C1B">
        <w:rPr>
          <w:rFonts w:ascii="Cambria" w:hAnsi="Cambria" w:cs="Times"/>
          <w:lang w:val="en-GB"/>
        </w:rPr>
        <w:t>ó</w:t>
      </w:r>
      <w:r w:rsidRPr="00F87C1B">
        <w:rPr>
          <w:rFonts w:cs="Times"/>
          <w:lang w:val="en-GB"/>
        </w:rPr>
        <w:t>n</w:t>
      </w:r>
      <w:proofErr w:type="spellEnd"/>
      <w:r w:rsidRPr="00F87C1B">
        <w:rPr>
          <w:rFonts w:cs="Times"/>
          <w:lang w:val="en-GB"/>
        </w:rPr>
        <w:t xml:space="preserve"> in</w:t>
      </w:r>
      <w:r w:rsidR="00722F3E" w:rsidRPr="00F87C1B">
        <w:rPr>
          <w:rFonts w:cs="Times"/>
          <w:lang w:val="en-GB"/>
        </w:rPr>
        <w:t xml:space="preserve"> the earlier case</w:t>
      </w:r>
      <w:r w:rsidRPr="00F87C1B">
        <w:rPr>
          <w:rFonts w:cs="Times"/>
          <w:lang w:val="en-GB"/>
        </w:rPr>
        <w:t xml:space="preserve"> </w:t>
      </w:r>
      <w:proofErr w:type="spellStart"/>
      <w:r w:rsidRPr="00F87C1B">
        <w:rPr>
          <w:rFonts w:cs="Times"/>
          <w:i/>
          <w:lang w:val="en-GB"/>
        </w:rPr>
        <w:t>Abdullahi</w:t>
      </w:r>
      <w:proofErr w:type="spellEnd"/>
      <w:r w:rsidRPr="00F87C1B">
        <w:rPr>
          <w:rFonts w:cs="Times"/>
          <w:lang w:val="en-GB"/>
        </w:rPr>
        <w:t>,</w:t>
      </w:r>
      <w:r w:rsidRPr="00F87C1B">
        <w:rPr>
          <w:rStyle w:val="FootnoteReference"/>
          <w:rFonts w:cs="Times"/>
          <w:lang w:val="en-GB"/>
        </w:rPr>
        <w:footnoteReference w:id="47"/>
      </w:r>
      <w:r w:rsidR="001A3D68" w:rsidRPr="00F87C1B">
        <w:rPr>
          <w:rFonts w:cs="Times"/>
          <w:lang w:val="en-GB"/>
        </w:rPr>
        <w:t xml:space="preserve"> once the Member State </w:t>
      </w:r>
      <w:r w:rsidRPr="00F87C1B">
        <w:rPr>
          <w:rFonts w:cs="Times"/>
          <w:lang w:val="en-GB"/>
        </w:rPr>
        <w:t xml:space="preserve">which should have been responsible, based on the criterion of </w:t>
      </w:r>
      <w:r w:rsidR="009C71E9">
        <w:rPr>
          <w:rFonts w:cs="Times"/>
          <w:lang w:val="en-GB"/>
        </w:rPr>
        <w:lastRenderedPageBreak/>
        <w:t>“</w:t>
      </w:r>
      <w:r w:rsidRPr="00F87C1B">
        <w:rPr>
          <w:rFonts w:cs="Times"/>
          <w:lang w:val="en-GB"/>
        </w:rPr>
        <w:t>irregular crossing</w:t>
      </w:r>
      <w:r w:rsidR="009C71E9">
        <w:rPr>
          <w:rFonts w:cs="Times"/>
          <w:lang w:val="en-GB"/>
        </w:rPr>
        <w:t>”</w:t>
      </w:r>
      <w:r w:rsidRPr="00F87C1B">
        <w:rPr>
          <w:rFonts w:cs="Times"/>
          <w:lang w:val="en-GB"/>
        </w:rPr>
        <w:t xml:space="preserve">, has been excluded, a different criterion has to be applied. This logic starts from the premise that the criterion of </w:t>
      </w:r>
      <w:r w:rsidR="009C71E9">
        <w:rPr>
          <w:rFonts w:cs="Times"/>
          <w:lang w:val="en-GB"/>
        </w:rPr>
        <w:t>“</w:t>
      </w:r>
      <w:r w:rsidRPr="00F87C1B">
        <w:rPr>
          <w:rFonts w:cs="Times"/>
          <w:lang w:val="en-GB"/>
        </w:rPr>
        <w:t>irregular crossing</w:t>
      </w:r>
      <w:r w:rsidR="009C71E9">
        <w:rPr>
          <w:rFonts w:cs="Times"/>
          <w:lang w:val="en-GB"/>
        </w:rPr>
        <w:t>”</w:t>
      </w:r>
      <w:r w:rsidRPr="00F87C1B">
        <w:rPr>
          <w:rFonts w:cs="Times"/>
          <w:lang w:val="en-GB"/>
        </w:rPr>
        <w:t xml:space="preserve">, contained in Article 13(1) of the Dublin Regulation, has been exhausted by the fact that the first irregular crossing into the EU took place in Greece and that Dublin transfers to Greece could not take place due to </w:t>
      </w:r>
      <w:r w:rsidR="009C71E9">
        <w:rPr>
          <w:rFonts w:cs="Times"/>
          <w:lang w:val="en-GB"/>
        </w:rPr>
        <w:t xml:space="preserve">the </w:t>
      </w:r>
      <w:r w:rsidRPr="00F87C1B">
        <w:rPr>
          <w:rFonts w:cs="Times"/>
          <w:lang w:val="en-GB"/>
        </w:rPr>
        <w:t xml:space="preserve">systemic deficiencies in its asylum system. Consequently, the same criterion could no longer be applied </w:t>
      </w:r>
      <w:r w:rsidR="009C71E9">
        <w:rPr>
          <w:rFonts w:cs="Times"/>
          <w:lang w:val="en-GB"/>
        </w:rPr>
        <w:t xml:space="preserve">in </w:t>
      </w:r>
      <w:r w:rsidRPr="00F87C1B">
        <w:rPr>
          <w:rFonts w:cs="Times"/>
          <w:lang w:val="en-GB"/>
        </w:rPr>
        <w:t>finding the next Member State of irregular crossing on the Western Balkans route. If so, the Member State of the asylum application would have to allocate responsibility for examining the asylum application based on the following criteria contained in the Dublin Regulation, in their hierarchical order: visa waiver</w:t>
      </w:r>
      <w:r w:rsidRPr="00F87C1B">
        <w:rPr>
          <w:rStyle w:val="FootnoteReference"/>
          <w:rFonts w:cs="Times"/>
          <w:lang w:val="en-GB"/>
        </w:rPr>
        <w:footnoteReference w:id="48"/>
      </w:r>
      <w:r w:rsidRPr="00F87C1B">
        <w:rPr>
          <w:rFonts w:cs="Times"/>
          <w:lang w:val="en-GB"/>
        </w:rPr>
        <w:t xml:space="preserve"> and application in an international transit area of an airport.</w:t>
      </w:r>
      <w:r w:rsidRPr="00F87C1B">
        <w:rPr>
          <w:rStyle w:val="FootnoteReference"/>
          <w:rFonts w:cs="Times"/>
          <w:lang w:val="en-GB"/>
        </w:rPr>
        <w:footnoteReference w:id="49"/>
      </w:r>
      <w:r w:rsidRPr="00F87C1B">
        <w:rPr>
          <w:rFonts w:cs="Times"/>
          <w:lang w:val="en-GB"/>
        </w:rPr>
        <w:t xml:space="preserve">  </w:t>
      </w:r>
      <w:r w:rsidR="009C71E9">
        <w:rPr>
          <w:rFonts w:cs="Times"/>
          <w:lang w:val="en-GB"/>
        </w:rPr>
        <w:t>If</w:t>
      </w:r>
      <w:r w:rsidRPr="00F87C1B">
        <w:rPr>
          <w:rFonts w:cs="Times"/>
          <w:lang w:val="en-GB"/>
        </w:rPr>
        <w:t xml:space="preserve"> none of the Member States could be designated based on these two criteria, the responsible Member State would be the first one in which the asylum application was lodged.</w:t>
      </w:r>
      <w:r w:rsidRPr="00F87C1B">
        <w:rPr>
          <w:rStyle w:val="FootnoteReference"/>
          <w:rFonts w:cs="Times"/>
          <w:lang w:val="en-GB"/>
        </w:rPr>
        <w:footnoteReference w:id="50"/>
      </w:r>
      <w:r w:rsidRPr="00F87C1B">
        <w:rPr>
          <w:rFonts w:cs="Times"/>
          <w:lang w:val="en-GB"/>
        </w:rPr>
        <w:t xml:space="preserve"> </w:t>
      </w:r>
    </w:p>
    <w:p w14:paraId="3B6031CE" w14:textId="77777777" w:rsidR="00722F3E" w:rsidRPr="00F87C1B" w:rsidRDefault="00722F3E" w:rsidP="00975C18">
      <w:pPr>
        <w:jc w:val="both"/>
        <w:rPr>
          <w:rFonts w:cs="Times"/>
          <w:lang w:val="en-GB"/>
        </w:rPr>
      </w:pPr>
    </w:p>
    <w:p w14:paraId="74637184" w14:textId="77777777" w:rsidR="00975C18" w:rsidRPr="00F87C1B" w:rsidRDefault="00725814" w:rsidP="00975C18">
      <w:pPr>
        <w:jc w:val="both"/>
        <w:rPr>
          <w:rFonts w:cs="Times"/>
          <w:lang w:val="en-GB"/>
        </w:rPr>
      </w:pPr>
      <w:r w:rsidRPr="00F87C1B">
        <w:rPr>
          <w:rFonts w:cs="Times"/>
          <w:lang w:val="en-GB"/>
        </w:rPr>
        <w:t xml:space="preserve">In his Opinion in </w:t>
      </w:r>
      <w:proofErr w:type="spellStart"/>
      <w:r w:rsidRPr="00F87C1B">
        <w:rPr>
          <w:rFonts w:cs="Times"/>
          <w:i/>
          <w:lang w:val="en-GB"/>
        </w:rPr>
        <w:t>Abdullahi</w:t>
      </w:r>
      <w:proofErr w:type="spellEnd"/>
      <w:r w:rsidRPr="00F87C1B">
        <w:rPr>
          <w:rFonts w:cs="Times"/>
          <w:lang w:val="en-GB"/>
        </w:rPr>
        <w:t xml:space="preserve">, AG </w:t>
      </w:r>
      <w:proofErr w:type="spellStart"/>
      <w:r w:rsidRPr="00F87C1B">
        <w:rPr>
          <w:rFonts w:cs="Times"/>
          <w:lang w:val="en-GB"/>
        </w:rPr>
        <w:t>Villal</w:t>
      </w:r>
      <w:r w:rsidRPr="00F87C1B">
        <w:rPr>
          <w:rFonts w:ascii="Cambria" w:hAnsi="Cambria" w:cs="Times"/>
          <w:lang w:val="en-GB"/>
        </w:rPr>
        <w:t>ó</w:t>
      </w:r>
      <w:r w:rsidRPr="00F87C1B">
        <w:rPr>
          <w:rFonts w:cs="Times"/>
          <w:lang w:val="en-GB"/>
        </w:rPr>
        <w:t>n</w:t>
      </w:r>
      <w:proofErr w:type="spellEnd"/>
      <w:r w:rsidRPr="00F87C1B">
        <w:rPr>
          <w:rFonts w:cs="Times"/>
          <w:lang w:val="en-GB"/>
        </w:rPr>
        <w:t xml:space="preserve"> also pointed out the judgment </w:t>
      </w:r>
      <w:r w:rsidR="00975C18" w:rsidRPr="00F87C1B">
        <w:rPr>
          <w:rFonts w:cs="Times"/>
          <w:lang w:val="en-GB"/>
        </w:rPr>
        <w:t xml:space="preserve">in </w:t>
      </w:r>
      <w:r w:rsidR="00975C18" w:rsidRPr="00F87C1B">
        <w:rPr>
          <w:rFonts w:cs="Times"/>
          <w:i/>
          <w:lang w:val="en-GB"/>
        </w:rPr>
        <w:t>N.S.</w:t>
      </w:r>
      <w:r w:rsidR="00975C18" w:rsidRPr="00F87C1B">
        <w:rPr>
          <w:rFonts w:cs="Times"/>
          <w:lang w:val="en-GB"/>
        </w:rPr>
        <w:t xml:space="preserve">, where the Court referred to the transferring Member State’s obligation to apply one of the </w:t>
      </w:r>
      <w:r w:rsidR="009C71E9">
        <w:rPr>
          <w:rFonts w:cs="Times"/>
          <w:lang w:val="en-GB"/>
        </w:rPr>
        <w:t>“</w:t>
      </w:r>
      <w:r w:rsidR="00975C18" w:rsidRPr="00F87C1B">
        <w:rPr>
          <w:rFonts w:cs="Times"/>
          <w:lang w:val="en-GB"/>
        </w:rPr>
        <w:t>following</w:t>
      </w:r>
      <w:r w:rsidR="009C71E9">
        <w:rPr>
          <w:rFonts w:cs="Times"/>
          <w:lang w:val="en-GB"/>
        </w:rPr>
        <w:t>”</w:t>
      </w:r>
      <w:r w:rsidR="00975C18" w:rsidRPr="00F87C1B">
        <w:rPr>
          <w:rFonts w:cs="Times"/>
          <w:lang w:val="en-GB"/>
        </w:rPr>
        <w:t xml:space="preserve"> criteria for determining the responsible Member State.</w:t>
      </w:r>
      <w:r w:rsidR="00975C18" w:rsidRPr="00F87C1B">
        <w:rPr>
          <w:rStyle w:val="FootnoteReference"/>
          <w:rFonts w:cs="Times"/>
          <w:lang w:val="en-GB"/>
        </w:rPr>
        <w:footnoteReference w:id="51"/>
      </w:r>
      <w:r w:rsidR="00975C18" w:rsidRPr="00F87C1B">
        <w:rPr>
          <w:rFonts w:cs="Times"/>
          <w:lang w:val="en-GB"/>
        </w:rPr>
        <w:t xml:space="preserve"> </w:t>
      </w:r>
      <w:r w:rsidRPr="00F87C1B">
        <w:rPr>
          <w:rFonts w:cs="Times"/>
          <w:lang w:val="en-GB"/>
        </w:rPr>
        <w:t xml:space="preserve">However, in </w:t>
      </w:r>
      <w:r w:rsidRPr="00F87C1B">
        <w:rPr>
          <w:rFonts w:cs="Times"/>
          <w:i/>
          <w:lang w:val="en-GB"/>
        </w:rPr>
        <w:t xml:space="preserve">A.S. </w:t>
      </w:r>
      <w:r w:rsidRPr="00255886">
        <w:rPr>
          <w:rFonts w:cs="Times"/>
          <w:lang w:val="en-GB"/>
        </w:rPr>
        <w:t>and</w:t>
      </w:r>
      <w:r w:rsidRPr="00F87C1B">
        <w:rPr>
          <w:rFonts w:cs="Times"/>
          <w:i/>
          <w:lang w:val="en-GB"/>
        </w:rPr>
        <w:t xml:space="preserve"> </w:t>
      </w:r>
      <w:proofErr w:type="spellStart"/>
      <w:r w:rsidRPr="00F87C1B">
        <w:rPr>
          <w:rFonts w:cs="Times"/>
          <w:i/>
          <w:lang w:val="en-GB"/>
        </w:rPr>
        <w:t>Jafari</w:t>
      </w:r>
      <w:proofErr w:type="spellEnd"/>
      <w:r w:rsidRPr="00F87C1B">
        <w:rPr>
          <w:rFonts w:cs="Times"/>
          <w:lang w:val="en-GB"/>
        </w:rPr>
        <w:t xml:space="preserve">, the Court chose to take a different avenue, thus departing from both the Opinion of AG </w:t>
      </w:r>
      <w:proofErr w:type="spellStart"/>
      <w:r w:rsidRPr="00F87C1B">
        <w:rPr>
          <w:rFonts w:cs="Times"/>
          <w:lang w:val="en-GB"/>
        </w:rPr>
        <w:t>Sharpston</w:t>
      </w:r>
      <w:proofErr w:type="spellEnd"/>
      <w:r w:rsidRPr="00F87C1B">
        <w:rPr>
          <w:rFonts w:cs="Times"/>
          <w:lang w:val="en-GB"/>
        </w:rPr>
        <w:t xml:space="preserve"> in </w:t>
      </w:r>
      <w:r w:rsidRPr="00F87C1B">
        <w:rPr>
          <w:rFonts w:cs="Times"/>
          <w:i/>
          <w:lang w:val="en-GB"/>
        </w:rPr>
        <w:t xml:space="preserve">A.S. </w:t>
      </w:r>
      <w:r w:rsidRPr="00255886">
        <w:rPr>
          <w:rFonts w:cs="Times"/>
          <w:lang w:val="en-GB"/>
        </w:rPr>
        <w:t>and</w:t>
      </w:r>
      <w:r w:rsidRPr="00F87C1B">
        <w:rPr>
          <w:rFonts w:cs="Times"/>
          <w:i/>
          <w:lang w:val="en-GB"/>
        </w:rPr>
        <w:t xml:space="preserve"> </w:t>
      </w:r>
      <w:proofErr w:type="spellStart"/>
      <w:r w:rsidRPr="00F87C1B">
        <w:rPr>
          <w:rFonts w:cs="Times"/>
          <w:i/>
          <w:lang w:val="en-GB"/>
        </w:rPr>
        <w:t>Jafari</w:t>
      </w:r>
      <w:proofErr w:type="spellEnd"/>
      <w:r w:rsidR="00FC0D99" w:rsidRPr="00F87C1B">
        <w:rPr>
          <w:rStyle w:val="FootnoteReference"/>
          <w:rFonts w:cs="Times"/>
          <w:lang w:val="en-GB"/>
        </w:rPr>
        <w:footnoteReference w:id="52"/>
      </w:r>
      <w:r w:rsidR="00FC0D99" w:rsidRPr="00F87C1B">
        <w:rPr>
          <w:rFonts w:cs="Times"/>
          <w:lang w:val="en-GB"/>
        </w:rPr>
        <w:t xml:space="preserve"> </w:t>
      </w:r>
      <w:r w:rsidRPr="00F87C1B">
        <w:rPr>
          <w:rFonts w:cs="Times"/>
          <w:lang w:val="en-GB"/>
        </w:rPr>
        <w:t xml:space="preserve">and from the Opinion of AG </w:t>
      </w:r>
      <w:proofErr w:type="spellStart"/>
      <w:r w:rsidRPr="00F87C1B">
        <w:rPr>
          <w:rFonts w:cs="Times"/>
          <w:lang w:val="en-GB"/>
        </w:rPr>
        <w:t>Villal</w:t>
      </w:r>
      <w:r w:rsidRPr="00F87C1B">
        <w:rPr>
          <w:rFonts w:ascii="Cambria" w:hAnsi="Cambria" w:cs="Times"/>
          <w:lang w:val="en-GB"/>
        </w:rPr>
        <w:t>ó</w:t>
      </w:r>
      <w:r w:rsidRPr="00F87C1B">
        <w:rPr>
          <w:rFonts w:cs="Times"/>
          <w:lang w:val="en-GB"/>
        </w:rPr>
        <w:t>n</w:t>
      </w:r>
      <w:proofErr w:type="spellEnd"/>
      <w:r w:rsidRPr="00F87C1B">
        <w:rPr>
          <w:rFonts w:cs="Times"/>
          <w:lang w:val="en-GB"/>
        </w:rPr>
        <w:t xml:space="preserve"> in </w:t>
      </w:r>
      <w:proofErr w:type="spellStart"/>
      <w:r w:rsidRPr="009C71E9">
        <w:rPr>
          <w:rFonts w:cs="Times"/>
          <w:i/>
          <w:lang w:val="en-GB"/>
        </w:rPr>
        <w:t>Abdullahi</w:t>
      </w:r>
      <w:proofErr w:type="spellEnd"/>
      <w:r w:rsidRPr="00F87C1B">
        <w:rPr>
          <w:rFonts w:cs="Times"/>
          <w:lang w:val="en-GB"/>
        </w:rPr>
        <w:t>. The Court’s reasoning, therefore, places Croatia</w:t>
      </w:r>
      <w:r w:rsidR="000A3EE7">
        <w:rPr>
          <w:rFonts w:cs="Times"/>
          <w:lang w:val="en-GB"/>
        </w:rPr>
        <w:t xml:space="preserve"> at the centre of attention of the </w:t>
      </w:r>
      <w:r w:rsidRPr="00F87C1B">
        <w:rPr>
          <w:rFonts w:cs="Times"/>
          <w:lang w:val="en-GB"/>
        </w:rPr>
        <w:t xml:space="preserve">Western Balkans route. </w:t>
      </w:r>
      <w:r w:rsidR="00975C18" w:rsidRPr="00F87C1B">
        <w:rPr>
          <w:rFonts w:cs="Times"/>
          <w:lang w:val="en-GB"/>
        </w:rPr>
        <w:t xml:space="preserve">From that perspective, the rulings in </w:t>
      </w:r>
      <w:r w:rsidR="00975C18" w:rsidRPr="00F87C1B">
        <w:rPr>
          <w:rFonts w:cs="Times"/>
          <w:i/>
          <w:lang w:val="en-GB"/>
        </w:rPr>
        <w:t xml:space="preserve">A.S. </w:t>
      </w:r>
      <w:r w:rsidR="00975C18" w:rsidRPr="00937E5F">
        <w:rPr>
          <w:rFonts w:cs="Times"/>
          <w:lang w:val="en-GB"/>
        </w:rPr>
        <w:t>and</w:t>
      </w:r>
      <w:r w:rsidR="00975C18" w:rsidRPr="00F87C1B">
        <w:rPr>
          <w:rFonts w:cs="Times"/>
          <w:i/>
          <w:lang w:val="en-GB"/>
        </w:rPr>
        <w:t xml:space="preserve"> </w:t>
      </w:r>
      <w:proofErr w:type="spellStart"/>
      <w:r w:rsidR="00975C18" w:rsidRPr="00F87C1B">
        <w:rPr>
          <w:rFonts w:cs="Times"/>
          <w:i/>
          <w:lang w:val="en-GB"/>
        </w:rPr>
        <w:t>Jafari</w:t>
      </w:r>
      <w:proofErr w:type="spellEnd"/>
      <w:r w:rsidR="00975C18" w:rsidRPr="00F87C1B">
        <w:rPr>
          <w:rFonts w:cs="Times"/>
          <w:lang w:val="en-GB"/>
        </w:rPr>
        <w:t xml:space="preserve"> can be viewed as an act of scolding Croatia and </w:t>
      </w:r>
      <w:r w:rsidR="009C71E9">
        <w:rPr>
          <w:rFonts w:cs="Times"/>
          <w:lang w:val="en-GB"/>
        </w:rPr>
        <w:t xml:space="preserve">the </w:t>
      </w:r>
      <w:r w:rsidR="00975C18" w:rsidRPr="00F87C1B">
        <w:rPr>
          <w:rFonts w:cs="Times"/>
          <w:lang w:val="en-GB"/>
        </w:rPr>
        <w:t xml:space="preserve">other EU Member States on the Western Balkans route and a warning not to repeat such behaviour in the future. </w:t>
      </w:r>
    </w:p>
    <w:p w14:paraId="2606D24F" w14:textId="77777777" w:rsidR="00CD7936" w:rsidRPr="00F87C1B" w:rsidRDefault="00CD7936" w:rsidP="004C511C">
      <w:pPr>
        <w:jc w:val="both"/>
        <w:rPr>
          <w:rFonts w:cs="Times"/>
          <w:lang w:val="en-GB"/>
        </w:rPr>
      </w:pPr>
    </w:p>
    <w:p w14:paraId="6EBEF631" w14:textId="77777777" w:rsidR="00CD7936" w:rsidRPr="00F87C1B" w:rsidRDefault="00722F3E" w:rsidP="004C511C">
      <w:pPr>
        <w:jc w:val="both"/>
        <w:rPr>
          <w:rFonts w:cs="Times"/>
          <w:lang w:val="en-GB"/>
        </w:rPr>
      </w:pPr>
      <w:r w:rsidRPr="00F87C1B">
        <w:rPr>
          <w:rFonts w:cs="Times"/>
          <w:lang w:val="en-GB"/>
        </w:rPr>
        <w:t>However, e</w:t>
      </w:r>
      <w:r w:rsidR="00CD7936" w:rsidRPr="00F87C1B">
        <w:rPr>
          <w:rFonts w:cs="Times"/>
          <w:lang w:val="en-GB"/>
        </w:rPr>
        <w:t xml:space="preserve">ven though, when viewed independently, the rulings in </w:t>
      </w:r>
      <w:r w:rsidR="00CD7936" w:rsidRPr="00F87C1B">
        <w:rPr>
          <w:rFonts w:cs="Times"/>
          <w:i/>
          <w:lang w:val="en-GB"/>
        </w:rPr>
        <w:t xml:space="preserve">A.S. </w:t>
      </w:r>
      <w:r w:rsidR="00CD7936" w:rsidRPr="00937E5F">
        <w:rPr>
          <w:rFonts w:cs="Times"/>
          <w:lang w:val="en-GB"/>
        </w:rPr>
        <w:t>and</w:t>
      </w:r>
      <w:r w:rsidR="00CD7936" w:rsidRPr="00F87C1B">
        <w:rPr>
          <w:rFonts w:cs="Times"/>
          <w:i/>
          <w:lang w:val="en-GB"/>
        </w:rPr>
        <w:t xml:space="preserve"> </w:t>
      </w:r>
      <w:proofErr w:type="spellStart"/>
      <w:r w:rsidR="00CD7936" w:rsidRPr="00F87C1B">
        <w:rPr>
          <w:rFonts w:cs="Times"/>
          <w:i/>
          <w:lang w:val="en-GB"/>
        </w:rPr>
        <w:t>Jafari</w:t>
      </w:r>
      <w:proofErr w:type="spellEnd"/>
      <w:r w:rsidR="00CD7936" w:rsidRPr="00F87C1B">
        <w:rPr>
          <w:rFonts w:cs="Times"/>
          <w:lang w:val="en-GB"/>
        </w:rPr>
        <w:t xml:space="preserve"> could have had serious consequences for Croatia, as they could have given the green light to other Member States on the Western Balkans route to </w:t>
      </w:r>
      <w:r w:rsidR="00A77B46" w:rsidRPr="00F87C1B">
        <w:rPr>
          <w:rFonts w:cs="Times"/>
          <w:lang w:val="en-GB"/>
        </w:rPr>
        <w:t xml:space="preserve">initiate Dublin transfers for </w:t>
      </w:r>
      <w:r w:rsidRPr="00F87C1B">
        <w:rPr>
          <w:rFonts w:cs="Times"/>
          <w:lang w:val="en-GB"/>
        </w:rPr>
        <w:t>hundreds</w:t>
      </w:r>
      <w:r w:rsidR="00A77B46" w:rsidRPr="00F87C1B">
        <w:rPr>
          <w:rFonts w:cs="Times"/>
          <w:lang w:val="en-GB"/>
        </w:rPr>
        <w:t xml:space="preserve"> of thousands of asylum seekers, the ruling in </w:t>
      </w:r>
      <w:proofErr w:type="spellStart"/>
      <w:r w:rsidR="00A77B46" w:rsidRPr="00F87C1B">
        <w:rPr>
          <w:rFonts w:cs="Times"/>
          <w:i/>
          <w:lang w:val="en-GB"/>
        </w:rPr>
        <w:t>Mengesteab</w:t>
      </w:r>
      <w:proofErr w:type="spellEnd"/>
      <w:r w:rsidR="00A77B46" w:rsidRPr="00F87C1B">
        <w:rPr>
          <w:rFonts w:cs="Times"/>
          <w:lang w:val="en-GB"/>
        </w:rPr>
        <w:t xml:space="preserve"> limits the effects of </w:t>
      </w:r>
      <w:r w:rsidR="00A77B46" w:rsidRPr="00F87C1B">
        <w:rPr>
          <w:rFonts w:cs="Times"/>
          <w:i/>
          <w:lang w:val="en-GB"/>
        </w:rPr>
        <w:t xml:space="preserve">A.S. </w:t>
      </w:r>
      <w:r w:rsidR="00A77B46" w:rsidRPr="00937E5F">
        <w:rPr>
          <w:rFonts w:cs="Times"/>
          <w:lang w:val="en-GB"/>
        </w:rPr>
        <w:t>and</w:t>
      </w:r>
      <w:r w:rsidR="00A77B46" w:rsidRPr="00F87C1B">
        <w:rPr>
          <w:rFonts w:cs="Times"/>
          <w:i/>
          <w:lang w:val="en-GB"/>
        </w:rPr>
        <w:t xml:space="preserve"> </w:t>
      </w:r>
      <w:proofErr w:type="spellStart"/>
      <w:r w:rsidR="00A77B46" w:rsidRPr="00F87C1B">
        <w:rPr>
          <w:rFonts w:cs="Times"/>
          <w:i/>
          <w:lang w:val="en-GB"/>
        </w:rPr>
        <w:t>Jafari</w:t>
      </w:r>
      <w:proofErr w:type="spellEnd"/>
      <w:r w:rsidR="00A77B46" w:rsidRPr="00F87C1B">
        <w:rPr>
          <w:rFonts w:cs="Times"/>
          <w:lang w:val="en-GB"/>
        </w:rPr>
        <w:t xml:space="preserve"> to an insignificant number of asylum seekers who transited the Western Balkans route in 2015/2016. </w:t>
      </w:r>
      <w:r w:rsidR="0018387B" w:rsidRPr="00F87C1B">
        <w:rPr>
          <w:rFonts w:cs="Times"/>
          <w:lang w:val="en-GB"/>
        </w:rPr>
        <w:t xml:space="preserve">It is obvious that the Court used </w:t>
      </w:r>
      <w:proofErr w:type="spellStart"/>
      <w:r w:rsidR="0018387B" w:rsidRPr="00F87C1B">
        <w:rPr>
          <w:rFonts w:cs="Times"/>
          <w:i/>
          <w:lang w:val="en-GB"/>
        </w:rPr>
        <w:t>Mengesteab</w:t>
      </w:r>
      <w:proofErr w:type="spellEnd"/>
      <w:r w:rsidR="0018387B" w:rsidRPr="00F87C1B">
        <w:rPr>
          <w:rFonts w:cs="Times"/>
          <w:lang w:val="en-GB"/>
        </w:rPr>
        <w:t xml:space="preserve"> to counterbalance both </w:t>
      </w:r>
      <w:r w:rsidR="00E16012" w:rsidRPr="00F87C1B">
        <w:rPr>
          <w:rFonts w:cs="Times"/>
          <w:lang w:val="en-GB"/>
        </w:rPr>
        <w:t>the impact and the moral of its</w:t>
      </w:r>
      <w:r w:rsidR="0018387B" w:rsidRPr="00F87C1B">
        <w:rPr>
          <w:rFonts w:cs="Times"/>
          <w:lang w:val="en-GB"/>
        </w:rPr>
        <w:t xml:space="preserve"> rulings in </w:t>
      </w:r>
      <w:r w:rsidR="0018387B" w:rsidRPr="00F87C1B">
        <w:rPr>
          <w:rFonts w:cs="Times"/>
          <w:i/>
          <w:lang w:val="en-GB"/>
        </w:rPr>
        <w:t xml:space="preserve">A.S. </w:t>
      </w:r>
      <w:r w:rsidR="0018387B" w:rsidRPr="00937E5F">
        <w:rPr>
          <w:rFonts w:cs="Times"/>
          <w:lang w:val="en-GB"/>
        </w:rPr>
        <w:t>and</w:t>
      </w:r>
      <w:r w:rsidR="0018387B" w:rsidRPr="00F87C1B">
        <w:rPr>
          <w:rFonts w:cs="Times"/>
          <w:i/>
          <w:lang w:val="en-GB"/>
        </w:rPr>
        <w:t xml:space="preserve"> </w:t>
      </w:r>
      <w:proofErr w:type="spellStart"/>
      <w:r w:rsidR="0018387B" w:rsidRPr="00F87C1B">
        <w:rPr>
          <w:rFonts w:cs="Times"/>
          <w:i/>
          <w:lang w:val="en-GB"/>
        </w:rPr>
        <w:t>Jafari</w:t>
      </w:r>
      <w:proofErr w:type="spellEnd"/>
      <w:r w:rsidR="00C31380" w:rsidRPr="00F87C1B">
        <w:rPr>
          <w:rFonts w:cs="Times"/>
          <w:lang w:val="en-GB"/>
        </w:rPr>
        <w:t xml:space="preserve">. By ascertaining that the three-month time limit for requesting a Dublin transfer starts to run not at the moment the official asylum application </w:t>
      </w:r>
      <w:r w:rsidR="00F7266A">
        <w:rPr>
          <w:rFonts w:cs="Times"/>
          <w:lang w:val="en-GB"/>
        </w:rPr>
        <w:t xml:space="preserve">is </w:t>
      </w:r>
      <w:r w:rsidR="00C31380" w:rsidRPr="00F87C1B">
        <w:rPr>
          <w:rFonts w:cs="Times"/>
          <w:lang w:val="en-GB"/>
        </w:rPr>
        <w:t>lodged, but much sooner</w:t>
      </w:r>
      <w:r w:rsidR="00A625FA" w:rsidRPr="00F87C1B">
        <w:rPr>
          <w:rFonts w:cs="Times"/>
          <w:lang w:val="en-GB"/>
        </w:rPr>
        <w:t xml:space="preserve"> </w:t>
      </w:r>
      <w:r w:rsidR="009C71E9">
        <w:rPr>
          <w:rFonts w:cs="Times"/>
          <w:lang w:val="en-GB"/>
        </w:rPr>
        <w:t>–</w:t>
      </w:r>
      <w:r w:rsidR="00A625FA" w:rsidRPr="00F87C1B">
        <w:rPr>
          <w:rFonts w:cs="Times"/>
          <w:lang w:val="en-GB"/>
        </w:rPr>
        <w:t xml:space="preserve"> </w:t>
      </w:r>
      <w:r w:rsidR="00C31380" w:rsidRPr="00F87C1B">
        <w:rPr>
          <w:rFonts w:cs="Times"/>
          <w:lang w:val="en-GB"/>
        </w:rPr>
        <w:t>at the moment a written document/its copy/information contained in such a document, certifying that a third-country national has requested international protection, has reached the national authority</w:t>
      </w:r>
      <w:r w:rsidR="00A625FA" w:rsidRPr="00F87C1B">
        <w:rPr>
          <w:rFonts w:cs="Times"/>
          <w:lang w:val="en-GB"/>
        </w:rPr>
        <w:t xml:space="preserve"> </w:t>
      </w:r>
      <w:r w:rsidR="009C71E9">
        <w:rPr>
          <w:rFonts w:cs="Times"/>
          <w:lang w:val="en-GB"/>
        </w:rPr>
        <w:t>–</w:t>
      </w:r>
      <w:r w:rsidR="00C31380" w:rsidRPr="00F87C1B">
        <w:rPr>
          <w:rFonts w:cs="Times"/>
          <w:lang w:val="en-GB"/>
        </w:rPr>
        <w:t xml:space="preserve"> the Court consciously disabled Dublin transfers for the major part of migrants who transited the Western Balkans route in 2015/2016. </w:t>
      </w:r>
      <w:r w:rsidR="003B27BD" w:rsidRPr="00F87C1B">
        <w:rPr>
          <w:rFonts w:cs="Times"/>
          <w:lang w:val="en-GB"/>
        </w:rPr>
        <w:t xml:space="preserve">This way, the Court tried to </w:t>
      </w:r>
      <w:r w:rsidR="00B71336" w:rsidRPr="00F87C1B">
        <w:rPr>
          <w:rFonts w:cs="Times"/>
          <w:lang w:val="en-GB"/>
        </w:rPr>
        <w:t>find a compromise</w:t>
      </w:r>
      <w:r w:rsidR="003B27BD" w:rsidRPr="00F87C1B">
        <w:rPr>
          <w:rFonts w:cs="Times"/>
          <w:lang w:val="en-GB"/>
        </w:rPr>
        <w:t xml:space="preserve"> between the conflicting interests and responsibilities of the Member State of first irregular entry</w:t>
      </w:r>
      <w:r w:rsidR="00A625FA" w:rsidRPr="00F87C1B">
        <w:rPr>
          <w:rFonts w:cs="Times"/>
          <w:lang w:val="en-GB"/>
        </w:rPr>
        <w:t>, not counting Greece,</w:t>
      </w:r>
      <w:r w:rsidR="003B27BD" w:rsidRPr="00F87C1B">
        <w:rPr>
          <w:rFonts w:cs="Times"/>
          <w:lang w:val="en-GB"/>
        </w:rPr>
        <w:t xml:space="preserve"> (as resulting from </w:t>
      </w:r>
      <w:r w:rsidR="003B27BD" w:rsidRPr="00F87C1B">
        <w:rPr>
          <w:rFonts w:cs="Times"/>
          <w:i/>
          <w:lang w:val="en-GB"/>
        </w:rPr>
        <w:t xml:space="preserve">A.S. </w:t>
      </w:r>
      <w:r w:rsidR="003B27BD" w:rsidRPr="00937E5F">
        <w:rPr>
          <w:rFonts w:cs="Times"/>
          <w:lang w:val="en-GB"/>
        </w:rPr>
        <w:t>and</w:t>
      </w:r>
      <w:r w:rsidR="003B27BD" w:rsidRPr="00F87C1B">
        <w:rPr>
          <w:rFonts w:cs="Times"/>
          <w:i/>
          <w:lang w:val="en-GB"/>
        </w:rPr>
        <w:t xml:space="preserve"> </w:t>
      </w:r>
      <w:proofErr w:type="spellStart"/>
      <w:r w:rsidR="003B27BD" w:rsidRPr="00F87C1B">
        <w:rPr>
          <w:rFonts w:cs="Times"/>
          <w:i/>
          <w:lang w:val="en-GB"/>
        </w:rPr>
        <w:t>Jafari</w:t>
      </w:r>
      <w:proofErr w:type="spellEnd"/>
      <w:r w:rsidR="003B27BD" w:rsidRPr="00F87C1B">
        <w:rPr>
          <w:rFonts w:cs="Times"/>
          <w:lang w:val="en-GB"/>
        </w:rPr>
        <w:t>) and the Member State where th</w:t>
      </w:r>
      <w:r w:rsidR="00144CC6" w:rsidRPr="00F87C1B">
        <w:rPr>
          <w:rFonts w:cs="Times"/>
          <w:lang w:val="en-GB"/>
        </w:rPr>
        <w:t xml:space="preserve">e </w:t>
      </w:r>
      <w:r w:rsidR="00144CC6" w:rsidRPr="00F87C1B">
        <w:rPr>
          <w:rFonts w:cs="Times"/>
          <w:lang w:val="en-GB"/>
        </w:rPr>
        <w:lastRenderedPageBreak/>
        <w:t>asylum application is lodged (</w:t>
      </w:r>
      <w:r w:rsidR="003B27BD" w:rsidRPr="00F87C1B">
        <w:rPr>
          <w:rFonts w:cs="Times"/>
          <w:lang w:val="en-GB"/>
        </w:rPr>
        <w:t>after the expiry of the</w:t>
      </w:r>
      <w:r w:rsidR="00144CC6" w:rsidRPr="00F87C1B">
        <w:rPr>
          <w:rFonts w:cs="Times"/>
          <w:lang w:val="en-GB"/>
        </w:rPr>
        <w:t xml:space="preserve"> three-month period, </w:t>
      </w:r>
      <w:r w:rsidR="003B27BD" w:rsidRPr="00F87C1B">
        <w:rPr>
          <w:rFonts w:cs="Times"/>
          <w:lang w:val="en-GB"/>
        </w:rPr>
        <w:t xml:space="preserve">as interpreted in </w:t>
      </w:r>
      <w:proofErr w:type="spellStart"/>
      <w:r w:rsidR="003B27BD" w:rsidRPr="00F87C1B">
        <w:rPr>
          <w:rFonts w:cs="Times"/>
          <w:i/>
          <w:lang w:val="en-GB"/>
        </w:rPr>
        <w:t>Mengesteab</w:t>
      </w:r>
      <w:proofErr w:type="spellEnd"/>
      <w:r w:rsidR="003B27BD" w:rsidRPr="00F87C1B">
        <w:rPr>
          <w:rFonts w:cs="Times"/>
          <w:lang w:val="en-GB"/>
        </w:rPr>
        <w:t xml:space="preserve">). </w:t>
      </w:r>
      <w:r w:rsidR="00EC60E2" w:rsidRPr="00F87C1B">
        <w:rPr>
          <w:rFonts w:cs="Times"/>
          <w:lang w:val="en-GB"/>
        </w:rPr>
        <w:t xml:space="preserve">The Court’s ruling in </w:t>
      </w:r>
      <w:r w:rsidR="00EC60E2" w:rsidRPr="00F87C1B">
        <w:rPr>
          <w:rFonts w:cs="Times"/>
          <w:i/>
          <w:lang w:val="en-GB"/>
        </w:rPr>
        <w:t>Slovakia and Hungary v Council</w:t>
      </w:r>
      <w:r w:rsidR="00916BE1" w:rsidRPr="00F87C1B">
        <w:rPr>
          <w:rFonts w:cs="Times"/>
          <w:lang w:val="en-GB"/>
        </w:rPr>
        <w:t xml:space="preserve">, decided on 6 September 2017, </w:t>
      </w:r>
      <w:r w:rsidR="00EC60E2" w:rsidRPr="00F87C1B">
        <w:rPr>
          <w:rFonts w:cs="Times"/>
          <w:lang w:val="en-GB"/>
        </w:rPr>
        <w:t xml:space="preserve">adds </w:t>
      </w:r>
      <w:r w:rsidR="00F7266A" w:rsidRPr="00F87C1B">
        <w:rPr>
          <w:rFonts w:cs="Times"/>
          <w:lang w:val="en-GB"/>
        </w:rPr>
        <w:t xml:space="preserve">to the equation </w:t>
      </w:r>
      <w:r w:rsidR="00EC60E2" w:rsidRPr="00F87C1B">
        <w:rPr>
          <w:rFonts w:cs="Times"/>
          <w:lang w:val="en-GB"/>
        </w:rPr>
        <w:t xml:space="preserve">the principle of solidarity by confirming joint Member State responsibility </w:t>
      </w:r>
      <w:r w:rsidR="00F7266A">
        <w:rPr>
          <w:rFonts w:cs="Times"/>
          <w:lang w:val="en-GB"/>
        </w:rPr>
        <w:t>for the</w:t>
      </w:r>
      <w:r w:rsidR="00EC60E2" w:rsidRPr="00F87C1B">
        <w:rPr>
          <w:rFonts w:cs="Times"/>
          <w:lang w:val="en-GB"/>
        </w:rPr>
        <w:t xml:space="preserve"> mandatory relocation of the agreed quotas of asylum seekers from Greece and Italy.</w:t>
      </w:r>
      <w:r w:rsidR="00EC60E2" w:rsidRPr="00F87C1B">
        <w:rPr>
          <w:rStyle w:val="FootnoteReference"/>
          <w:rFonts w:cs="Times"/>
          <w:lang w:val="en-GB"/>
        </w:rPr>
        <w:footnoteReference w:id="53"/>
      </w:r>
      <w:r w:rsidR="00916BE1" w:rsidRPr="00F87C1B">
        <w:rPr>
          <w:rFonts w:cs="Times"/>
          <w:lang w:val="en-GB"/>
        </w:rPr>
        <w:t xml:space="preserve"> This way, all the four judgments should be viewed together as the Court’s attempt to </w:t>
      </w:r>
      <w:r w:rsidR="00B71336" w:rsidRPr="00F87C1B">
        <w:rPr>
          <w:rFonts w:cs="Times"/>
          <w:lang w:val="en-GB"/>
        </w:rPr>
        <w:t>strike the right balance between competing interests and responsibilities in the EU.</w:t>
      </w:r>
      <w:r w:rsidR="00B71336" w:rsidRPr="00F87C1B">
        <w:rPr>
          <w:rStyle w:val="FootnoteReference"/>
          <w:rFonts w:cs="Times"/>
          <w:lang w:val="en-GB"/>
        </w:rPr>
        <w:footnoteReference w:id="54"/>
      </w:r>
    </w:p>
    <w:p w14:paraId="2EF7994F" w14:textId="77777777" w:rsidR="00C31380" w:rsidRPr="00F87C1B" w:rsidRDefault="00C31380" w:rsidP="004C511C">
      <w:pPr>
        <w:jc w:val="both"/>
        <w:rPr>
          <w:rFonts w:cs="Times"/>
          <w:lang w:val="en-GB"/>
        </w:rPr>
      </w:pPr>
    </w:p>
    <w:p w14:paraId="6BC12791" w14:textId="77777777" w:rsidR="00051680" w:rsidRPr="00F87C1B" w:rsidRDefault="00722F3E" w:rsidP="002A442E">
      <w:pPr>
        <w:jc w:val="both"/>
        <w:rPr>
          <w:rFonts w:cs="Times"/>
          <w:lang w:val="en-GB"/>
        </w:rPr>
      </w:pPr>
      <w:r w:rsidRPr="00F87C1B">
        <w:rPr>
          <w:rFonts w:cs="Times"/>
          <w:lang w:val="en-GB"/>
        </w:rPr>
        <w:t>Consequently</w:t>
      </w:r>
      <w:r w:rsidR="00342ECF" w:rsidRPr="00F87C1B">
        <w:rPr>
          <w:rFonts w:cs="Times"/>
          <w:lang w:val="en-GB"/>
        </w:rPr>
        <w:t>, t</w:t>
      </w:r>
      <w:r w:rsidR="00431249" w:rsidRPr="00F87C1B">
        <w:rPr>
          <w:rFonts w:cs="Times"/>
          <w:lang w:val="en-GB"/>
        </w:rPr>
        <w:t xml:space="preserve">he rulings in </w:t>
      </w:r>
      <w:r w:rsidR="00431249" w:rsidRPr="00F87C1B">
        <w:rPr>
          <w:rFonts w:cs="Times"/>
          <w:i/>
          <w:lang w:val="en-GB"/>
        </w:rPr>
        <w:t xml:space="preserve">A.S. </w:t>
      </w:r>
      <w:r w:rsidR="00431249" w:rsidRPr="00937E5F">
        <w:rPr>
          <w:rFonts w:cs="Times"/>
          <w:lang w:val="en-GB"/>
        </w:rPr>
        <w:t>and</w:t>
      </w:r>
      <w:r w:rsidR="00431249" w:rsidRPr="00F87C1B">
        <w:rPr>
          <w:rFonts w:cs="Times"/>
          <w:i/>
          <w:lang w:val="en-GB"/>
        </w:rPr>
        <w:t xml:space="preserve"> </w:t>
      </w:r>
      <w:proofErr w:type="spellStart"/>
      <w:r w:rsidR="00431249" w:rsidRPr="00F87C1B">
        <w:rPr>
          <w:rFonts w:cs="Times"/>
          <w:i/>
          <w:lang w:val="en-GB"/>
        </w:rPr>
        <w:t>Jafari</w:t>
      </w:r>
      <w:proofErr w:type="spellEnd"/>
      <w:r w:rsidR="00431249" w:rsidRPr="00F87C1B">
        <w:rPr>
          <w:rFonts w:cs="Times"/>
          <w:lang w:val="en-GB"/>
        </w:rPr>
        <w:t xml:space="preserve"> and in </w:t>
      </w:r>
      <w:proofErr w:type="spellStart"/>
      <w:r w:rsidR="00431249" w:rsidRPr="00F87C1B">
        <w:rPr>
          <w:rFonts w:cs="Times"/>
          <w:i/>
          <w:lang w:val="en-GB"/>
        </w:rPr>
        <w:t>Mengesteab</w:t>
      </w:r>
      <w:proofErr w:type="spellEnd"/>
      <w:r w:rsidR="00342ECF" w:rsidRPr="00F87C1B">
        <w:rPr>
          <w:rFonts w:cs="Times"/>
          <w:lang w:val="en-GB"/>
        </w:rPr>
        <w:t>,</w:t>
      </w:r>
      <w:r w:rsidR="00431249" w:rsidRPr="00F87C1B">
        <w:rPr>
          <w:rFonts w:cs="Times"/>
          <w:lang w:val="en-GB"/>
        </w:rPr>
        <w:t xml:space="preserve"> read together</w:t>
      </w:r>
      <w:r w:rsidR="00342ECF" w:rsidRPr="00F87C1B">
        <w:rPr>
          <w:rFonts w:cs="Times"/>
          <w:lang w:val="en-GB"/>
        </w:rPr>
        <w:t>,</w:t>
      </w:r>
      <w:r w:rsidR="00431249" w:rsidRPr="00F87C1B">
        <w:rPr>
          <w:rFonts w:cs="Times"/>
          <w:lang w:val="en-GB"/>
        </w:rPr>
        <w:t xml:space="preserve"> </w:t>
      </w:r>
      <w:r w:rsidR="006D3EC2" w:rsidRPr="00F87C1B">
        <w:rPr>
          <w:rFonts w:cs="Times"/>
          <w:lang w:val="en-GB"/>
        </w:rPr>
        <w:t>do not have a strong impact</w:t>
      </w:r>
      <w:r w:rsidR="001958C6" w:rsidRPr="00F87C1B">
        <w:rPr>
          <w:rFonts w:cs="Times"/>
          <w:lang w:val="en-GB"/>
        </w:rPr>
        <w:t xml:space="preserve"> on the admissibility of </w:t>
      </w:r>
      <w:r w:rsidR="00BD7622">
        <w:rPr>
          <w:rFonts w:cs="Times"/>
          <w:lang w:val="en-GB"/>
        </w:rPr>
        <w:t xml:space="preserve">the </w:t>
      </w:r>
      <w:r w:rsidR="001958C6" w:rsidRPr="00F87C1B">
        <w:rPr>
          <w:rFonts w:cs="Times"/>
          <w:lang w:val="en-GB"/>
        </w:rPr>
        <w:t xml:space="preserve">Dublin transfers of asylum seekers who </w:t>
      </w:r>
      <w:r w:rsidR="006D3EC2" w:rsidRPr="00F87C1B">
        <w:rPr>
          <w:rFonts w:cs="Times"/>
          <w:lang w:val="en-GB"/>
        </w:rPr>
        <w:t>transited</w:t>
      </w:r>
      <w:r w:rsidR="001958C6" w:rsidRPr="00F87C1B">
        <w:rPr>
          <w:rFonts w:cs="Times"/>
          <w:lang w:val="en-GB"/>
        </w:rPr>
        <w:t xml:space="preserve"> the Wes</w:t>
      </w:r>
      <w:r w:rsidR="006A0BAA" w:rsidRPr="00F87C1B">
        <w:rPr>
          <w:rFonts w:cs="Times"/>
          <w:lang w:val="en-GB"/>
        </w:rPr>
        <w:t xml:space="preserve">tern Balkans route in 2015/2016. </w:t>
      </w:r>
      <w:r w:rsidR="00324507" w:rsidRPr="00F87C1B">
        <w:rPr>
          <w:rFonts w:cs="Times"/>
          <w:lang w:val="en-GB"/>
        </w:rPr>
        <w:t>The</w:t>
      </w:r>
      <w:r w:rsidR="0094273A" w:rsidRPr="00F87C1B">
        <w:rPr>
          <w:rFonts w:cs="Times"/>
          <w:lang w:val="en-GB"/>
        </w:rPr>
        <w:t>se</w:t>
      </w:r>
      <w:r w:rsidR="00324507" w:rsidRPr="00F87C1B">
        <w:rPr>
          <w:rFonts w:cs="Times"/>
          <w:lang w:val="en-GB"/>
        </w:rPr>
        <w:t xml:space="preserve"> cases were decided in July 2017, at the time when the Western Balkans route </w:t>
      </w:r>
      <w:r w:rsidR="00BD7622">
        <w:rPr>
          <w:rFonts w:cs="Times"/>
          <w:lang w:val="en-GB"/>
        </w:rPr>
        <w:t xml:space="preserve">had been </w:t>
      </w:r>
      <w:r w:rsidR="00324507" w:rsidRPr="00F87C1B">
        <w:rPr>
          <w:rFonts w:cs="Times"/>
          <w:lang w:val="en-GB"/>
        </w:rPr>
        <w:t>closed for more than a year and</w:t>
      </w:r>
      <w:r w:rsidR="0094273A" w:rsidRPr="00F87C1B">
        <w:rPr>
          <w:rFonts w:cs="Times"/>
          <w:lang w:val="en-GB"/>
        </w:rPr>
        <w:t xml:space="preserve"> at the time</w:t>
      </w:r>
      <w:r w:rsidR="00324507" w:rsidRPr="00F87C1B">
        <w:rPr>
          <w:rFonts w:cs="Times"/>
          <w:lang w:val="en-GB"/>
        </w:rPr>
        <w:t xml:space="preserve"> when the refugee influx into Europe had significantly diminished. </w:t>
      </w:r>
      <w:r w:rsidR="00BD7622">
        <w:rPr>
          <w:rFonts w:cs="Times"/>
          <w:lang w:val="en-GB"/>
        </w:rPr>
        <w:t>Besides</w:t>
      </w:r>
      <w:r w:rsidR="00324507" w:rsidRPr="00F87C1B">
        <w:rPr>
          <w:rFonts w:cs="Times"/>
          <w:lang w:val="en-GB"/>
        </w:rPr>
        <w:t xml:space="preserve">, they were decided at </w:t>
      </w:r>
      <w:r w:rsidR="00BD7622">
        <w:rPr>
          <w:rFonts w:cs="Times"/>
          <w:lang w:val="en-GB"/>
        </w:rPr>
        <w:t xml:space="preserve">a </w:t>
      </w:r>
      <w:r w:rsidR="00324507" w:rsidRPr="00F87C1B">
        <w:rPr>
          <w:rFonts w:cs="Times"/>
          <w:lang w:val="en-GB"/>
        </w:rPr>
        <w:t>time when the three-month time lim</w:t>
      </w:r>
      <w:r w:rsidR="0094273A" w:rsidRPr="00F87C1B">
        <w:rPr>
          <w:rFonts w:cs="Times"/>
          <w:lang w:val="en-GB"/>
        </w:rPr>
        <w:t>it had expired for</w:t>
      </w:r>
      <w:r w:rsidR="00324507" w:rsidRPr="00F87C1B">
        <w:rPr>
          <w:rFonts w:cs="Times"/>
          <w:lang w:val="en-GB"/>
        </w:rPr>
        <w:t xml:space="preserve"> the vast majority of asylum seekers who transited the route. </w:t>
      </w:r>
      <w:r w:rsidR="0094273A" w:rsidRPr="00F87C1B">
        <w:rPr>
          <w:rFonts w:cs="Times"/>
          <w:lang w:val="en-GB"/>
        </w:rPr>
        <w:t xml:space="preserve">The importance of these rulings is primarily twofold.  </w:t>
      </w:r>
      <w:r w:rsidR="00324507" w:rsidRPr="00F87C1B">
        <w:rPr>
          <w:rFonts w:cs="Times"/>
          <w:lang w:val="en-GB"/>
        </w:rPr>
        <w:t>First, they send a clear message of the Court’s disapproval and reprimand of the Member States</w:t>
      </w:r>
      <w:r w:rsidR="0094273A" w:rsidRPr="00F87C1B">
        <w:rPr>
          <w:rFonts w:cs="Times"/>
          <w:lang w:val="en-GB"/>
        </w:rPr>
        <w:t>’</w:t>
      </w:r>
      <w:r w:rsidR="00324507" w:rsidRPr="00F87C1B">
        <w:rPr>
          <w:rFonts w:cs="Times"/>
          <w:lang w:val="en-GB"/>
        </w:rPr>
        <w:t xml:space="preserve"> non-compliance with their EU law obligations. Second, </w:t>
      </w:r>
      <w:r w:rsidR="0094273A" w:rsidRPr="00F87C1B">
        <w:rPr>
          <w:rFonts w:cs="Times"/>
          <w:lang w:val="en-GB"/>
        </w:rPr>
        <w:t xml:space="preserve">they are extremely relevant for the </w:t>
      </w:r>
      <w:r w:rsidR="00324507" w:rsidRPr="00F87C1B">
        <w:rPr>
          <w:rFonts w:cs="Times"/>
          <w:lang w:val="en-GB"/>
        </w:rPr>
        <w:t xml:space="preserve">future development of EU asylum law and the future behaviour of EU Member States in </w:t>
      </w:r>
      <w:r w:rsidR="00BD7622">
        <w:rPr>
          <w:rFonts w:cs="Times"/>
          <w:lang w:val="en-GB"/>
        </w:rPr>
        <w:t xml:space="preserve">the </w:t>
      </w:r>
      <w:r w:rsidR="00324507" w:rsidRPr="00F87C1B">
        <w:rPr>
          <w:rFonts w:cs="Times"/>
          <w:lang w:val="en-GB"/>
        </w:rPr>
        <w:t xml:space="preserve">case of a new refugee influx. </w:t>
      </w:r>
    </w:p>
    <w:p w14:paraId="6C17C488" w14:textId="77777777" w:rsidR="00051680" w:rsidRPr="00F87C1B" w:rsidRDefault="00051680" w:rsidP="002A442E">
      <w:pPr>
        <w:jc w:val="both"/>
        <w:rPr>
          <w:rFonts w:cs="Times"/>
          <w:lang w:val="en-GB"/>
        </w:rPr>
      </w:pPr>
    </w:p>
    <w:p w14:paraId="66DB941C" w14:textId="77777777" w:rsidR="00E80501" w:rsidRPr="00F87C1B" w:rsidRDefault="0009507C" w:rsidP="002A442E">
      <w:pPr>
        <w:jc w:val="both"/>
        <w:rPr>
          <w:rFonts w:cs="Times"/>
          <w:lang w:val="en-GB"/>
        </w:rPr>
      </w:pPr>
      <w:r w:rsidRPr="00F87C1B">
        <w:rPr>
          <w:rFonts w:cs="Times"/>
          <w:lang w:val="en-GB"/>
        </w:rPr>
        <w:t xml:space="preserve">The rulings in </w:t>
      </w:r>
      <w:r w:rsidRPr="00F87C1B">
        <w:rPr>
          <w:rFonts w:cs="Times"/>
          <w:i/>
          <w:lang w:val="en-GB"/>
        </w:rPr>
        <w:t xml:space="preserve">A.S. </w:t>
      </w:r>
      <w:r w:rsidRPr="00937E5F">
        <w:rPr>
          <w:rFonts w:cs="Times"/>
          <w:lang w:val="en-GB"/>
        </w:rPr>
        <w:t>and</w:t>
      </w:r>
      <w:r w:rsidRPr="00F87C1B">
        <w:rPr>
          <w:rFonts w:cs="Times"/>
          <w:i/>
          <w:lang w:val="en-GB"/>
        </w:rPr>
        <w:t xml:space="preserve"> </w:t>
      </w:r>
      <w:proofErr w:type="spellStart"/>
      <w:r w:rsidRPr="00F87C1B">
        <w:rPr>
          <w:rFonts w:cs="Times"/>
          <w:i/>
          <w:lang w:val="en-GB"/>
        </w:rPr>
        <w:t>Jafari</w:t>
      </w:r>
      <w:proofErr w:type="spellEnd"/>
      <w:r w:rsidRPr="00F87C1B">
        <w:rPr>
          <w:rFonts w:cs="Times"/>
          <w:lang w:val="en-GB"/>
        </w:rPr>
        <w:t xml:space="preserve"> </w:t>
      </w:r>
      <w:r w:rsidR="009E1F73" w:rsidRPr="00F87C1B">
        <w:rPr>
          <w:rFonts w:cs="Times"/>
          <w:lang w:val="en-GB"/>
        </w:rPr>
        <w:t xml:space="preserve">signal to the Member States that, in </w:t>
      </w:r>
      <w:r w:rsidR="00BD7622">
        <w:rPr>
          <w:rFonts w:cs="Times"/>
          <w:lang w:val="en-GB"/>
        </w:rPr>
        <w:t xml:space="preserve">the </w:t>
      </w:r>
      <w:r w:rsidR="009E1F73" w:rsidRPr="00F87C1B">
        <w:rPr>
          <w:rFonts w:cs="Times"/>
          <w:lang w:val="en-GB"/>
        </w:rPr>
        <w:t xml:space="preserve">case of a </w:t>
      </w:r>
      <w:r w:rsidR="002A15BD" w:rsidRPr="00F87C1B">
        <w:rPr>
          <w:rFonts w:cs="Times"/>
          <w:lang w:val="en-GB"/>
        </w:rPr>
        <w:t>future</w:t>
      </w:r>
      <w:r w:rsidR="009E1F73" w:rsidRPr="00F87C1B">
        <w:rPr>
          <w:rFonts w:cs="Times"/>
          <w:lang w:val="en-GB"/>
        </w:rPr>
        <w:t xml:space="preserve"> refugee influx, the state of first entry will be responsible for allowing </w:t>
      </w:r>
      <w:r w:rsidR="00BD7622">
        <w:rPr>
          <w:rFonts w:cs="Times"/>
          <w:lang w:val="en-GB"/>
        </w:rPr>
        <w:t xml:space="preserve">the </w:t>
      </w:r>
      <w:r w:rsidR="009E1F73" w:rsidRPr="00F87C1B">
        <w:rPr>
          <w:rFonts w:cs="Times"/>
          <w:lang w:val="en-GB"/>
        </w:rPr>
        <w:t xml:space="preserve">entry of only those third-country nationals who either fulfil the conditions contained in the Schengen Borders Code or apply for asylum in the state of their first entry. </w:t>
      </w:r>
      <w:r w:rsidR="000C302C" w:rsidRPr="00F87C1B">
        <w:rPr>
          <w:rFonts w:cs="Times"/>
          <w:lang w:val="en-GB"/>
        </w:rPr>
        <w:t>The state of first entry would be absolved from its responsibility to examine an asylum application or to accept</w:t>
      </w:r>
      <w:r w:rsidR="00992F9E" w:rsidRPr="00F87C1B">
        <w:rPr>
          <w:rFonts w:cs="Times"/>
          <w:lang w:val="en-GB"/>
        </w:rPr>
        <w:t xml:space="preserve"> a Dublin transfer</w:t>
      </w:r>
      <w:r w:rsidR="000C302C" w:rsidRPr="00F87C1B">
        <w:rPr>
          <w:rFonts w:cs="Times"/>
          <w:lang w:val="en-GB"/>
        </w:rPr>
        <w:t xml:space="preserve"> wit</w:t>
      </w:r>
      <w:r w:rsidR="009B0DB1" w:rsidRPr="00F87C1B">
        <w:rPr>
          <w:rFonts w:cs="Times"/>
          <w:lang w:val="en-GB"/>
        </w:rPr>
        <w:t>hin the first three months of the asylum application only where that transfer would entail a genuine risk that the person concerned might suffer inhuman or degrading treatment.</w:t>
      </w:r>
      <w:r w:rsidR="00992F9E" w:rsidRPr="00F87C1B">
        <w:rPr>
          <w:rStyle w:val="FootnoteReference"/>
          <w:rFonts w:cs="Times"/>
          <w:lang w:val="en-GB"/>
        </w:rPr>
        <w:footnoteReference w:id="55"/>
      </w:r>
      <w:r w:rsidR="009B0DB1" w:rsidRPr="00F87C1B">
        <w:rPr>
          <w:rFonts w:cs="Times"/>
          <w:lang w:val="en-GB"/>
        </w:rPr>
        <w:t xml:space="preserve"> </w:t>
      </w:r>
      <w:r w:rsidR="002961E2" w:rsidRPr="00F87C1B">
        <w:rPr>
          <w:rFonts w:cs="Times"/>
          <w:lang w:val="en-GB"/>
        </w:rPr>
        <w:t>Consequently,</w:t>
      </w:r>
      <w:r w:rsidR="00992F9E" w:rsidRPr="00F87C1B">
        <w:rPr>
          <w:rFonts w:cs="Times"/>
          <w:lang w:val="en-GB"/>
        </w:rPr>
        <w:t xml:space="preserve"> should there be a new refugee influx,</w:t>
      </w:r>
      <w:r w:rsidR="002961E2" w:rsidRPr="00F87C1B">
        <w:rPr>
          <w:rFonts w:cs="Times"/>
          <w:lang w:val="en-GB"/>
        </w:rPr>
        <w:t xml:space="preserve"> the fact that the state of first entry would have to examine an exceptionally high number of third-country nationals and take care of them wo</w:t>
      </w:r>
      <w:r w:rsidR="00992F9E" w:rsidRPr="00F87C1B">
        <w:rPr>
          <w:rFonts w:cs="Times"/>
          <w:lang w:val="en-GB"/>
        </w:rPr>
        <w:t>uld create an exemption from its</w:t>
      </w:r>
      <w:r w:rsidR="002961E2" w:rsidRPr="00F87C1B">
        <w:rPr>
          <w:rFonts w:cs="Times"/>
          <w:lang w:val="en-GB"/>
        </w:rPr>
        <w:t xml:space="preserve"> general responsibility </w:t>
      </w:r>
      <w:r w:rsidR="00287A05" w:rsidRPr="00F87C1B">
        <w:rPr>
          <w:rFonts w:cs="Times"/>
          <w:lang w:val="en-GB"/>
        </w:rPr>
        <w:t xml:space="preserve">to accept Dublin transfers only </w:t>
      </w:r>
      <w:r w:rsidR="00BD7622">
        <w:rPr>
          <w:rFonts w:cs="Times"/>
          <w:lang w:val="en-GB"/>
        </w:rPr>
        <w:t xml:space="preserve">if </w:t>
      </w:r>
      <w:r w:rsidR="00287A05" w:rsidRPr="00F87C1B">
        <w:rPr>
          <w:rFonts w:cs="Times"/>
          <w:lang w:val="en-GB"/>
        </w:rPr>
        <w:t>such a high number of third-country nationals create</w:t>
      </w:r>
      <w:r w:rsidR="00BD7622">
        <w:rPr>
          <w:rFonts w:cs="Times"/>
          <w:lang w:val="en-GB"/>
        </w:rPr>
        <w:t>d</w:t>
      </w:r>
      <w:r w:rsidR="00287A05" w:rsidRPr="00F87C1B">
        <w:rPr>
          <w:rFonts w:cs="Times"/>
          <w:lang w:val="en-GB"/>
        </w:rPr>
        <w:t xml:space="preserve"> a risk of inhuman and degrading treatment.</w:t>
      </w:r>
      <w:r w:rsidR="00E80501" w:rsidRPr="00F87C1B">
        <w:rPr>
          <w:rStyle w:val="FootnoteReference"/>
          <w:rFonts w:cs="Times"/>
          <w:lang w:val="en-GB"/>
        </w:rPr>
        <w:footnoteReference w:id="56"/>
      </w:r>
      <w:r w:rsidR="00287A05" w:rsidRPr="00F87C1B">
        <w:rPr>
          <w:rFonts w:cs="Times"/>
          <w:lang w:val="en-GB"/>
        </w:rPr>
        <w:t xml:space="preserve"> </w:t>
      </w:r>
      <w:r w:rsidR="00E80501" w:rsidRPr="00F87C1B">
        <w:rPr>
          <w:rFonts w:cs="Times"/>
          <w:lang w:val="en-GB"/>
        </w:rPr>
        <w:t xml:space="preserve">Finally, in </w:t>
      </w:r>
      <w:r w:rsidR="00BD7622">
        <w:rPr>
          <w:rFonts w:cs="Times"/>
          <w:lang w:val="en-GB"/>
        </w:rPr>
        <w:t xml:space="preserve">the </w:t>
      </w:r>
      <w:r w:rsidR="00E80501" w:rsidRPr="00F87C1B">
        <w:rPr>
          <w:rFonts w:cs="Times"/>
          <w:lang w:val="en-GB"/>
        </w:rPr>
        <w:t>case of a new crisis, t</w:t>
      </w:r>
      <w:r w:rsidR="00051680" w:rsidRPr="00F87C1B">
        <w:rPr>
          <w:rFonts w:cs="Times"/>
          <w:lang w:val="en-GB"/>
        </w:rPr>
        <w:t>he Member State of first entry</w:t>
      </w:r>
      <w:r w:rsidR="00E80501" w:rsidRPr="00F87C1B">
        <w:rPr>
          <w:rFonts w:cs="Times"/>
          <w:lang w:val="en-GB"/>
        </w:rPr>
        <w:t xml:space="preserve"> would</w:t>
      </w:r>
      <w:r w:rsidR="009E1F73" w:rsidRPr="00F87C1B">
        <w:rPr>
          <w:rFonts w:cs="Times"/>
          <w:lang w:val="en-GB"/>
        </w:rPr>
        <w:t xml:space="preserve"> not be allowed to rely on humanitarian grounds to enable or facilitate </w:t>
      </w:r>
      <w:r w:rsidR="00BD7622">
        <w:rPr>
          <w:rFonts w:cs="Times"/>
          <w:lang w:val="en-GB"/>
        </w:rPr>
        <w:t xml:space="preserve">the </w:t>
      </w:r>
      <w:r w:rsidR="009E1F73" w:rsidRPr="00F87C1B">
        <w:rPr>
          <w:rFonts w:cs="Times"/>
          <w:lang w:val="en-GB"/>
        </w:rPr>
        <w:t xml:space="preserve">transit of third-country nationals to other Member States. </w:t>
      </w:r>
    </w:p>
    <w:p w14:paraId="10CDD602" w14:textId="77777777" w:rsidR="00E80501" w:rsidRPr="00F87C1B" w:rsidRDefault="00E80501" w:rsidP="002A442E">
      <w:pPr>
        <w:jc w:val="both"/>
        <w:rPr>
          <w:rFonts w:cs="Times"/>
          <w:lang w:val="en-GB"/>
        </w:rPr>
      </w:pPr>
    </w:p>
    <w:p w14:paraId="4397CA6A" w14:textId="77777777" w:rsidR="00BD3BF0" w:rsidRPr="00F87C1B" w:rsidRDefault="00BD19D5" w:rsidP="002A442E">
      <w:pPr>
        <w:jc w:val="both"/>
        <w:rPr>
          <w:rFonts w:cs="Times"/>
          <w:lang w:val="en-GB"/>
        </w:rPr>
      </w:pPr>
      <w:r w:rsidRPr="00F87C1B">
        <w:rPr>
          <w:rFonts w:cs="Times"/>
          <w:lang w:val="en-GB"/>
        </w:rPr>
        <w:t>Such</w:t>
      </w:r>
      <w:r w:rsidR="003C421F" w:rsidRPr="00F87C1B">
        <w:rPr>
          <w:rFonts w:cs="Times"/>
          <w:lang w:val="en-GB"/>
        </w:rPr>
        <w:t xml:space="preserve"> a</w:t>
      </w:r>
      <w:r w:rsidRPr="00F87C1B">
        <w:rPr>
          <w:rFonts w:cs="Times"/>
          <w:lang w:val="en-GB"/>
        </w:rPr>
        <w:t xml:space="preserve"> strict interpretation of the Dublin Regulation and the Schengen Borders Code </w:t>
      </w:r>
      <w:r w:rsidR="00051680" w:rsidRPr="00F87C1B">
        <w:rPr>
          <w:rFonts w:cs="Times"/>
          <w:lang w:val="en-GB"/>
        </w:rPr>
        <w:t xml:space="preserve">might have </w:t>
      </w:r>
      <w:r w:rsidR="003C421F" w:rsidRPr="00F87C1B">
        <w:rPr>
          <w:rFonts w:cs="Times"/>
          <w:lang w:val="en-GB"/>
        </w:rPr>
        <w:t>serious</w:t>
      </w:r>
      <w:r w:rsidR="00051680" w:rsidRPr="00F87C1B">
        <w:rPr>
          <w:rFonts w:cs="Times"/>
          <w:lang w:val="en-GB"/>
        </w:rPr>
        <w:t xml:space="preserve"> implications for the Member States’ behaviour </w:t>
      </w:r>
      <w:r w:rsidRPr="00F87C1B">
        <w:rPr>
          <w:rFonts w:cs="Times"/>
          <w:lang w:val="en-GB"/>
        </w:rPr>
        <w:t xml:space="preserve">in </w:t>
      </w:r>
      <w:r w:rsidR="00BD7622">
        <w:rPr>
          <w:rFonts w:cs="Times"/>
          <w:lang w:val="en-GB"/>
        </w:rPr>
        <w:t xml:space="preserve">the </w:t>
      </w:r>
      <w:r w:rsidRPr="00F87C1B">
        <w:rPr>
          <w:rFonts w:cs="Times"/>
          <w:lang w:val="en-GB"/>
        </w:rPr>
        <w:t>case of a new crisis</w:t>
      </w:r>
      <w:r w:rsidR="00051680" w:rsidRPr="00F87C1B">
        <w:rPr>
          <w:rFonts w:cs="Times"/>
          <w:lang w:val="en-GB"/>
        </w:rPr>
        <w:t xml:space="preserve">. </w:t>
      </w:r>
      <w:r w:rsidR="003C421F" w:rsidRPr="00F87C1B">
        <w:rPr>
          <w:rFonts w:cs="Times"/>
          <w:lang w:val="en-GB"/>
        </w:rPr>
        <w:t xml:space="preserve">It is highly unlikely that – following the rulings in </w:t>
      </w:r>
      <w:r w:rsidR="003C421F" w:rsidRPr="00F87C1B">
        <w:rPr>
          <w:rFonts w:cs="Times"/>
          <w:i/>
          <w:lang w:val="en-GB"/>
        </w:rPr>
        <w:t xml:space="preserve">A.S. </w:t>
      </w:r>
      <w:r w:rsidR="003C421F" w:rsidRPr="00BD7622">
        <w:rPr>
          <w:rFonts w:cs="Times"/>
          <w:lang w:val="en-GB"/>
        </w:rPr>
        <w:t>and</w:t>
      </w:r>
      <w:r w:rsidR="003C421F" w:rsidRPr="00F87C1B">
        <w:rPr>
          <w:rFonts w:cs="Times"/>
          <w:i/>
          <w:lang w:val="en-GB"/>
        </w:rPr>
        <w:t xml:space="preserve"> </w:t>
      </w:r>
      <w:proofErr w:type="spellStart"/>
      <w:r w:rsidR="003C421F" w:rsidRPr="00F87C1B">
        <w:rPr>
          <w:rFonts w:cs="Times"/>
          <w:i/>
          <w:lang w:val="en-GB"/>
        </w:rPr>
        <w:t>Jafari</w:t>
      </w:r>
      <w:proofErr w:type="spellEnd"/>
      <w:r w:rsidR="003C421F" w:rsidRPr="00F87C1B">
        <w:rPr>
          <w:rFonts w:cs="Times"/>
          <w:lang w:val="en-GB"/>
        </w:rPr>
        <w:t xml:space="preserve"> </w:t>
      </w:r>
      <w:r w:rsidR="00BD7622">
        <w:rPr>
          <w:rFonts w:cs="Times"/>
          <w:lang w:val="en-GB"/>
        </w:rPr>
        <w:t>–</w:t>
      </w:r>
      <w:r w:rsidR="003C421F" w:rsidRPr="00F87C1B">
        <w:rPr>
          <w:rFonts w:cs="Times"/>
          <w:lang w:val="en-GB"/>
        </w:rPr>
        <w:t xml:space="preserve"> Member States would allow or facilitate the creation of </w:t>
      </w:r>
      <w:r w:rsidR="00BD7622">
        <w:rPr>
          <w:rFonts w:cs="Times"/>
          <w:lang w:val="en-GB"/>
        </w:rPr>
        <w:t xml:space="preserve">a </w:t>
      </w:r>
      <w:r w:rsidR="003C421F" w:rsidRPr="00F87C1B">
        <w:rPr>
          <w:rFonts w:cs="Times"/>
          <w:lang w:val="en-GB"/>
        </w:rPr>
        <w:t xml:space="preserve">new transit route through their territories, as this would breach their EU law obligations and </w:t>
      </w:r>
      <w:r w:rsidR="003C421F" w:rsidRPr="00F87C1B">
        <w:rPr>
          <w:rFonts w:cs="Times"/>
          <w:lang w:val="en-GB"/>
        </w:rPr>
        <w:lastRenderedPageBreak/>
        <w:t xml:space="preserve">enable numerous Dublin transfers </w:t>
      </w:r>
      <w:r w:rsidR="00EE15B1" w:rsidRPr="00F87C1B">
        <w:rPr>
          <w:rFonts w:cs="Times"/>
          <w:lang w:val="en-GB"/>
        </w:rPr>
        <w:t>to their territories</w:t>
      </w:r>
      <w:r w:rsidR="003C421F" w:rsidRPr="00F87C1B">
        <w:rPr>
          <w:rFonts w:cs="Times"/>
          <w:lang w:val="en-GB"/>
        </w:rPr>
        <w:t xml:space="preserve">.  </w:t>
      </w:r>
      <w:r w:rsidR="009062C7" w:rsidRPr="00F87C1B">
        <w:rPr>
          <w:rFonts w:cs="Times"/>
          <w:lang w:val="en-GB"/>
        </w:rPr>
        <w:t xml:space="preserve">Consequently, </w:t>
      </w:r>
      <w:r w:rsidR="00CA14DB" w:rsidRPr="00F87C1B">
        <w:rPr>
          <w:rFonts w:cs="Times"/>
          <w:lang w:val="en-GB"/>
        </w:rPr>
        <w:t xml:space="preserve">in </w:t>
      </w:r>
      <w:r w:rsidR="00BD7622">
        <w:rPr>
          <w:rFonts w:cs="Times"/>
          <w:lang w:val="en-GB"/>
        </w:rPr>
        <w:t xml:space="preserve">the </w:t>
      </w:r>
      <w:r w:rsidR="00CA14DB" w:rsidRPr="00F87C1B">
        <w:rPr>
          <w:rFonts w:cs="Times"/>
          <w:lang w:val="en-GB"/>
        </w:rPr>
        <w:t xml:space="preserve">case of a new refugee influx, </w:t>
      </w:r>
      <w:r w:rsidR="009062C7" w:rsidRPr="00F87C1B">
        <w:rPr>
          <w:rFonts w:cs="Times"/>
          <w:lang w:val="en-GB"/>
        </w:rPr>
        <w:t xml:space="preserve">an EU </w:t>
      </w:r>
      <w:r w:rsidR="00CA14DB" w:rsidRPr="00F87C1B">
        <w:rPr>
          <w:rFonts w:cs="Times"/>
          <w:lang w:val="en-GB"/>
        </w:rPr>
        <w:t>Member State</w:t>
      </w:r>
      <w:r w:rsidR="009062C7" w:rsidRPr="00F87C1B">
        <w:rPr>
          <w:rFonts w:cs="Times"/>
          <w:lang w:val="en-GB"/>
        </w:rPr>
        <w:t xml:space="preserve"> such as Croatia, confronted with a high number of third-country nationals on its borders</w:t>
      </w:r>
      <w:r w:rsidR="00CA14DB" w:rsidRPr="00F87C1B">
        <w:rPr>
          <w:rFonts w:cs="Times"/>
          <w:lang w:val="en-GB"/>
        </w:rPr>
        <w:t>,</w:t>
      </w:r>
      <w:r w:rsidR="003C421F" w:rsidRPr="00F87C1B">
        <w:rPr>
          <w:rFonts w:cs="Times"/>
          <w:lang w:val="en-GB"/>
        </w:rPr>
        <w:t xml:space="preserve"> </w:t>
      </w:r>
      <w:r w:rsidR="009062C7" w:rsidRPr="00F87C1B">
        <w:rPr>
          <w:rFonts w:cs="Times"/>
          <w:lang w:val="en-GB"/>
        </w:rPr>
        <w:t>will have to decide whether to allow or block entry</w:t>
      </w:r>
      <w:r w:rsidR="00BD7622">
        <w:rPr>
          <w:rFonts w:cs="Times"/>
          <w:lang w:val="en-GB"/>
        </w:rPr>
        <w:t>,</w:t>
      </w:r>
      <w:r w:rsidR="009062C7" w:rsidRPr="00F87C1B">
        <w:rPr>
          <w:rFonts w:cs="Times"/>
          <w:lang w:val="en-GB"/>
        </w:rPr>
        <w:t xml:space="preserve"> and bear the consequences of its actions either way. </w:t>
      </w:r>
      <w:r w:rsidR="00BD7622">
        <w:rPr>
          <w:rFonts w:cs="Times"/>
          <w:lang w:val="en-GB"/>
        </w:rPr>
        <w:t xml:space="preserve">If </w:t>
      </w:r>
      <w:r w:rsidR="00CA14DB" w:rsidRPr="00F87C1B">
        <w:rPr>
          <w:rFonts w:cs="Times"/>
          <w:lang w:val="en-GB"/>
        </w:rPr>
        <w:t xml:space="preserve">it decides to admit </w:t>
      </w:r>
      <w:r w:rsidR="00AA5793" w:rsidRPr="00F87C1B">
        <w:rPr>
          <w:rFonts w:cs="Times"/>
          <w:lang w:val="en-GB"/>
        </w:rPr>
        <w:t xml:space="preserve">numerous </w:t>
      </w:r>
      <w:r w:rsidR="00EE15B1" w:rsidRPr="00F87C1B">
        <w:rPr>
          <w:rFonts w:cs="Times"/>
          <w:lang w:val="en-GB"/>
        </w:rPr>
        <w:t xml:space="preserve">asylum seekers to its territory </w:t>
      </w:r>
      <w:r w:rsidR="00BD7622">
        <w:rPr>
          <w:rFonts w:cs="Times"/>
          <w:lang w:val="en-GB"/>
        </w:rPr>
        <w:t>–</w:t>
      </w:r>
      <w:r w:rsidR="00AA5793" w:rsidRPr="00F87C1B">
        <w:rPr>
          <w:rFonts w:cs="Times"/>
          <w:lang w:val="en-GB"/>
        </w:rPr>
        <w:t xml:space="preserve"> </w:t>
      </w:r>
      <w:r w:rsidR="00CA14DB" w:rsidRPr="00F87C1B">
        <w:rPr>
          <w:rFonts w:cs="Times"/>
          <w:lang w:val="en-GB"/>
        </w:rPr>
        <w:t xml:space="preserve">without a transit route or another mechanism </w:t>
      </w:r>
      <w:r w:rsidR="00BD7622">
        <w:rPr>
          <w:rFonts w:cs="Times"/>
          <w:lang w:val="en-GB"/>
        </w:rPr>
        <w:t xml:space="preserve">to </w:t>
      </w:r>
      <w:r w:rsidR="00CA14DB" w:rsidRPr="00F87C1B">
        <w:rPr>
          <w:rFonts w:cs="Times"/>
          <w:lang w:val="en-GB"/>
        </w:rPr>
        <w:t xml:space="preserve">distribute </w:t>
      </w:r>
      <w:r w:rsidR="00BD7622" w:rsidRPr="00F87C1B">
        <w:rPr>
          <w:rFonts w:cs="Times"/>
          <w:lang w:val="en-GB"/>
        </w:rPr>
        <w:t xml:space="preserve">more evenly </w:t>
      </w:r>
      <w:r w:rsidR="00EE15B1" w:rsidRPr="00F87C1B">
        <w:rPr>
          <w:rFonts w:cs="Times"/>
          <w:lang w:val="en-GB"/>
        </w:rPr>
        <w:t>the arriv</w:t>
      </w:r>
      <w:r w:rsidR="00BD7622">
        <w:rPr>
          <w:rFonts w:cs="Times"/>
          <w:lang w:val="en-GB"/>
        </w:rPr>
        <w:t>ing</w:t>
      </w:r>
      <w:r w:rsidR="00CA14DB" w:rsidRPr="00F87C1B">
        <w:rPr>
          <w:rFonts w:cs="Times"/>
          <w:lang w:val="en-GB"/>
        </w:rPr>
        <w:t xml:space="preserve"> asylum seekers across</w:t>
      </w:r>
      <w:r w:rsidR="00EE15B1" w:rsidRPr="00F87C1B">
        <w:rPr>
          <w:rFonts w:cs="Times"/>
          <w:lang w:val="en-GB"/>
        </w:rPr>
        <w:t xml:space="preserve"> the EU </w:t>
      </w:r>
      <w:r w:rsidR="00BD7622">
        <w:rPr>
          <w:rFonts w:cs="Times"/>
          <w:lang w:val="en-GB"/>
        </w:rPr>
        <w:t>–</w:t>
      </w:r>
      <w:r w:rsidR="00CA14DB" w:rsidRPr="00F87C1B">
        <w:rPr>
          <w:rFonts w:cs="Times"/>
          <w:lang w:val="en-GB"/>
        </w:rPr>
        <w:t xml:space="preserve"> </w:t>
      </w:r>
      <w:r w:rsidR="00EE15B1" w:rsidRPr="00F87C1B">
        <w:rPr>
          <w:rFonts w:cs="Times"/>
          <w:lang w:val="en-GB"/>
        </w:rPr>
        <w:t xml:space="preserve">it </w:t>
      </w:r>
      <w:r w:rsidR="00CA14DB" w:rsidRPr="00F87C1B">
        <w:rPr>
          <w:rFonts w:cs="Times"/>
          <w:lang w:val="en-GB"/>
        </w:rPr>
        <w:t>might exceed its asylum capacities</w:t>
      </w:r>
      <w:r w:rsidR="00AA5793" w:rsidRPr="00F87C1B">
        <w:rPr>
          <w:rFonts w:cs="Times"/>
          <w:lang w:val="en-GB"/>
        </w:rPr>
        <w:t xml:space="preserve">, thus leading to inhuman or degrading treatment of those admitted and a breach of Article 4 of the Charter and Article 3 of the ECHR. On the other hand, </w:t>
      </w:r>
      <w:r w:rsidR="00BD3BF0" w:rsidRPr="00F87C1B">
        <w:rPr>
          <w:rFonts w:cs="Times"/>
          <w:lang w:val="en-GB"/>
        </w:rPr>
        <w:t xml:space="preserve">such </w:t>
      </w:r>
      <w:r w:rsidR="002803E6" w:rsidRPr="00F87C1B">
        <w:rPr>
          <w:rFonts w:cs="Times"/>
          <w:lang w:val="en-GB"/>
        </w:rPr>
        <w:t xml:space="preserve">a Member State </w:t>
      </w:r>
      <w:r w:rsidR="000165B9" w:rsidRPr="00F87C1B">
        <w:rPr>
          <w:rFonts w:cs="Times"/>
          <w:lang w:val="en-GB"/>
        </w:rPr>
        <w:t>might decide to prevent third-country nationals, who do not fulfil the conditions contained in the Schengen B</w:t>
      </w:r>
      <w:r w:rsidR="00AA5793" w:rsidRPr="00F87C1B">
        <w:rPr>
          <w:rFonts w:cs="Times"/>
          <w:lang w:val="en-GB"/>
        </w:rPr>
        <w:t>orders Code, from entering its</w:t>
      </w:r>
      <w:r w:rsidR="000165B9" w:rsidRPr="00F87C1B">
        <w:rPr>
          <w:rFonts w:cs="Times"/>
          <w:lang w:val="en-GB"/>
        </w:rPr>
        <w:t xml:space="preserve"> territory by erecting border fences or</w:t>
      </w:r>
      <w:r w:rsidR="00AA5793" w:rsidRPr="00F87C1B">
        <w:rPr>
          <w:rFonts w:cs="Times"/>
          <w:lang w:val="en-GB"/>
        </w:rPr>
        <w:t xml:space="preserve"> a</w:t>
      </w:r>
      <w:r w:rsidR="000165B9" w:rsidRPr="00F87C1B">
        <w:rPr>
          <w:rFonts w:cs="Times"/>
          <w:lang w:val="en-GB"/>
        </w:rPr>
        <w:t xml:space="preserve"> wall, as was the case with Hungary during the </w:t>
      </w:r>
      <w:r w:rsidR="00BD7622">
        <w:rPr>
          <w:rFonts w:cs="Times"/>
          <w:lang w:val="en-GB"/>
        </w:rPr>
        <w:t xml:space="preserve">operation </w:t>
      </w:r>
      <w:r w:rsidR="000165B9" w:rsidRPr="00F87C1B">
        <w:rPr>
          <w:rFonts w:cs="Times"/>
          <w:lang w:val="en-GB"/>
        </w:rPr>
        <w:t xml:space="preserve">of the Western Balkans route.  </w:t>
      </w:r>
      <w:r w:rsidR="005D7038" w:rsidRPr="00F87C1B">
        <w:rPr>
          <w:rFonts w:cs="Times"/>
          <w:lang w:val="en-GB"/>
        </w:rPr>
        <w:t xml:space="preserve">The creation of such barriers </w:t>
      </w:r>
      <w:r w:rsidR="00690623" w:rsidRPr="00F87C1B">
        <w:rPr>
          <w:rFonts w:cs="Times"/>
          <w:lang w:val="en-GB"/>
        </w:rPr>
        <w:t>could redirect</w:t>
      </w:r>
      <w:r w:rsidR="00AA5793" w:rsidRPr="00F87C1B">
        <w:rPr>
          <w:rFonts w:cs="Times"/>
          <w:lang w:val="en-GB"/>
        </w:rPr>
        <w:t xml:space="preserve"> the</w:t>
      </w:r>
      <w:r w:rsidR="00690623" w:rsidRPr="00F87C1B">
        <w:rPr>
          <w:rFonts w:cs="Times"/>
          <w:lang w:val="en-GB"/>
        </w:rPr>
        <w:t xml:space="preserve"> passage of third-country nationals to another state, but </w:t>
      </w:r>
      <w:r w:rsidR="00BD3BF0" w:rsidRPr="00F87C1B">
        <w:rPr>
          <w:rFonts w:cs="Times"/>
          <w:lang w:val="en-GB"/>
        </w:rPr>
        <w:t>it could</w:t>
      </w:r>
      <w:r w:rsidR="00690623" w:rsidRPr="00F87C1B">
        <w:rPr>
          <w:rFonts w:cs="Times"/>
          <w:lang w:val="en-GB"/>
        </w:rPr>
        <w:t xml:space="preserve"> leave numerous migrants stranded in inhuman and degrading condition</w:t>
      </w:r>
      <w:r w:rsidR="00EE15B1" w:rsidRPr="00F87C1B">
        <w:rPr>
          <w:rFonts w:cs="Times"/>
          <w:lang w:val="en-GB"/>
        </w:rPr>
        <w:t>s</w:t>
      </w:r>
      <w:r w:rsidR="00690623" w:rsidRPr="00F87C1B">
        <w:rPr>
          <w:rFonts w:cs="Times"/>
          <w:lang w:val="en-GB"/>
        </w:rPr>
        <w:t xml:space="preserve">, </w:t>
      </w:r>
      <w:r w:rsidR="00AA5793" w:rsidRPr="00F87C1B">
        <w:rPr>
          <w:rFonts w:cs="Times"/>
          <w:lang w:val="en-GB"/>
        </w:rPr>
        <w:t>again</w:t>
      </w:r>
      <w:r w:rsidR="00690623" w:rsidRPr="00F87C1B">
        <w:rPr>
          <w:rFonts w:cs="Times"/>
          <w:lang w:val="en-GB"/>
        </w:rPr>
        <w:t xml:space="preserve"> creating a breach of Article 4 of the Charter</w:t>
      </w:r>
      <w:r w:rsidR="00443967" w:rsidRPr="00F87C1B">
        <w:rPr>
          <w:rFonts w:cs="Times"/>
          <w:lang w:val="en-GB"/>
        </w:rPr>
        <w:t xml:space="preserve"> and Article 3 of the ECHR. </w:t>
      </w:r>
      <w:r w:rsidR="00BD3BF0" w:rsidRPr="00F87C1B">
        <w:rPr>
          <w:rFonts w:cs="Times"/>
          <w:lang w:val="en-GB"/>
        </w:rPr>
        <w:t xml:space="preserve">Finally, Member States </w:t>
      </w:r>
      <w:r w:rsidR="00A00723" w:rsidRPr="00F87C1B">
        <w:rPr>
          <w:rFonts w:cs="Times"/>
          <w:lang w:val="en-GB"/>
        </w:rPr>
        <w:t>might try to find other ways to prevent third-country nat</w:t>
      </w:r>
      <w:r w:rsidR="00BD3BF0" w:rsidRPr="00F87C1B">
        <w:rPr>
          <w:rFonts w:cs="Times"/>
          <w:lang w:val="en-GB"/>
        </w:rPr>
        <w:t>ionals from entering their territories</w:t>
      </w:r>
      <w:r w:rsidR="00A00723" w:rsidRPr="00F87C1B">
        <w:rPr>
          <w:rFonts w:cs="Times"/>
          <w:lang w:val="en-GB"/>
        </w:rPr>
        <w:t>, such as</w:t>
      </w:r>
      <w:r w:rsidR="00C14C37" w:rsidRPr="00F87C1B">
        <w:rPr>
          <w:rFonts w:cs="Times"/>
          <w:lang w:val="en-GB"/>
        </w:rPr>
        <w:t xml:space="preserve"> entering into</w:t>
      </w:r>
      <w:r w:rsidR="00A00723" w:rsidRPr="00F87C1B">
        <w:rPr>
          <w:rFonts w:cs="Times"/>
          <w:lang w:val="en-GB"/>
        </w:rPr>
        <w:t xml:space="preserve"> agreements with third-countries</w:t>
      </w:r>
      <w:r w:rsidR="00C14C37" w:rsidRPr="00F87C1B">
        <w:rPr>
          <w:rFonts w:cs="Times"/>
          <w:lang w:val="en-GB"/>
        </w:rPr>
        <w:t xml:space="preserve"> in order to prevent third-country nationals from leaving their country of origin or current residence</w:t>
      </w:r>
      <w:r w:rsidR="00A00723" w:rsidRPr="00F87C1B">
        <w:rPr>
          <w:rFonts w:cs="Times"/>
          <w:lang w:val="en-GB"/>
        </w:rPr>
        <w:t xml:space="preserve"> (e.g</w:t>
      </w:r>
      <w:r w:rsidR="00BD3BF0" w:rsidRPr="00F87C1B">
        <w:rPr>
          <w:rFonts w:cs="Times"/>
          <w:lang w:val="en-GB"/>
        </w:rPr>
        <w:t xml:space="preserve">. </w:t>
      </w:r>
      <w:r w:rsidR="00C14C37" w:rsidRPr="00F87C1B">
        <w:rPr>
          <w:rFonts w:cs="Times"/>
          <w:lang w:val="en-GB"/>
        </w:rPr>
        <w:t xml:space="preserve">the EU-Turkey Statement). </w:t>
      </w:r>
    </w:p>
    <w:p w14:paraId="313D2D7C" w14:textId="77777777" w:rsidR="00BD3BF0" w:rsidRPr="00F87C1B" w:rsidRDefault="00BD3BF0" w:rsidP="002A442E">
      <w:pPr>
        <w:jc w:val="both"/>
        <w:rPr>
          <w:rFonts w:cs="Times"/>
          <w:lang w:val="en-GB"/>
        </w:rPr>
      </w:pPr>
    </w:p>
    <w:p w14:paraId="1306B3E2" w14:textId="77777777" w:rsidR="009E1F73" w:rsidRPr="00F87C1B" w:rsidRDefault="00C14C37" w:rsidP="002A442E">
      <w:pPr>
        <w:jc w:val="both"/>
        <w:rPr>
          <w:rFonts w:cs="Times"/>
          <w:lang w:val="en-GB"/>
        </w:rPr>
      </w:pPr>
      <w:r w:rsidRPr="00F87C1B">
        <w:rPr>
          <w:rFonts w:cs="Times"/>
          <w:lang w:val="en-GB"/>
        </w:rPr>
        <w:t xml:space="preserve">Whichever </w:t>
      </w:r>
      <w:r w:rsidR="00BD3BF0" w:rsidRPr="00F87C1B">
        <w:rPr>
          <w:rFonts w:cs="Times"/>
          <w:lang w:val="en-GB"/>
        </w:rPr>
        <w:t>pattern</w:t>
      </w:r>
      <w:r w:rsidR="0028487F" w:rsidRPr="00F87C1B">
        <w:rPr>
          <w:rFonts w:cs="Times"/>
          <w:lang w:val="en-GB"/>
        </w:rPr>
        <w:t xml:space="preserve"> </w:t>
      </w:r>
      <w:r w:rsidR="00BD7622">
        <w:rPr>
          <w:rFonts w:cs="Times"/>
          <w:lang w:val="en-GB"/>
        </w:rPr>
        <w:t xml:space="preserve">of behaviour </w:t>
      </w:r>
      <w:r w:rsidR="0028487F" w:rsidRPr="00F87C1B">
        <w:rPr>
          <w:rFonts w:cs="Times"/>
          <w:lang w:val="en-GB"/>
        </w:rPr>
        <w:t>Member States choose</w:t>
      </w:r>
      <w:r w:rsidRPr="00F87C1B">
        <w:rPr>
          <w:rFonts w:cs="Times"/>
          <w:lang w:val="en-GB"/>
        </w:rPr>
        <w:t xml:space="preserve"> to take,</w:t>
      </w:r>
      <w:r w:rsidR="0028487F" w:rsidRPr="00F87C1B">
        <w:rPr>
          <w:rFonts w:cs="Times"/>
          <w:lang w:val="en-GB"/>
        </w:rPr>
        <w:t xml:space="preserve"> </w:t>
      </w:r>
      <w:r w:rsidR="002908CA" w:rsidRPr="00F87C1B">
        <w:rPr>
          <w:rFonts w:cs="Times"/>
          <w:lang w:val="en-GB"/>
        </w:rPr>
        <w:t xml:space="preserve">it is not likely to duplicate </w:t>
      </w:r>
      <w:r w:rsidR="0028487F" w:rsidRPr="00F87C1B">
        <w:rPr>
          <w:rFonts w:cs="Times"/>
          <w:lang w:val="en-GB"/>
        </w:rPr>
        <w:t>the Western Balkans route</w:t>
      </w:r>
      <w:r w:rsidR="002908CA" w:rsidRPr="00F87C1B">
        <w:rPr>
          <w:rFonts w:cs="Times"/>
          <w:lang w:val="en-GB"/>
        </w:rPr>
        <w:t>. However,</w:t>
      </w:r>
      <w:r w:rsidR="004328ED" w:rsidRPr="00F87C1B">
        <w:rPr>
          <w:rFonts w:cs="Times"/>
          <w:lang w:val="en-GB"/>
        </w:rPr>
        <w:t xml:space="preserve"> </w:t>
      </w:r>
      <w:r w:rsidRPr="00F87C1B">
        <w:rPr>
          <w:rFonts w:cs="Times"/>
          <w:lang w:val="en-GB"/>
        </w:rPr>
        <w:t xml:space="preserve">it will raise serious humanitarian and moral questions and will not solve the problems arising from the Dublin Regulation. </w:t>
      </w:r>
      <w:r w:rsidR="00EC6A60" w:rsidRPr="00F87C1B">
        <w:rPr>
          <w:rFonts w:cs="Times"/>
          <w:lang w:val="en-GB"/>
        </w:rPr>
        <w:t xml:space="preserve">Therefore, the rulings in </w:t>
      </w:r>
      <w:r w:rsidR="00EC6A60" w:rsidRPr="00F87C1B">
        <w:rPr>
          <w:rFonts w:cs="Times"/>
          <w:i/>
          <w:lang w:val="en-GB"/>
        </w:rPr>
        <w:t xml:space="preserve">A.S. </w:t>
      </w:r>
      <w:r w:rsidR="00EC6A60" w:rsidRPr="00937E5F">
        <w:rPr>
          <w:rFonts w:cs="Times"/>
          <w:lang w:val="en-GB"/>
        </w:rPr>
        <w:t>and</w:t>
      </w:r>
      <w:r w:rsidR="00EC6A60" w:rsidRPr="00F87C1B">
        <w:rPr>
          <w:rFonts w:cs="Times"/>
          <w:i/>
          <w:lang w:val="en-GB"/>
        </w:rPr>
        <w:t xml:space="preserve"> </w:t>
      </w:r>
      <w:proofErr w:type="spellStart"/>
      <w:r w:rsidR="00EC6A60" w:rsidRPr="00F87C1B">
        <w:rPr>
          <w:rFonts w:cs="Times"/>
          <w:i/>
          <w:lang w:val="en-GB"/>
        </w:rPr>
        <w:t>Jafari</w:t>
      </w:r>
      <w:proofErr w:type="spellEnd"/>
      <w:r w:rsidR="00EC6A60" w:rsidRPr="00F87C1B">
        <w:rPr>
          <w:rFonts w:cs="Times"/>
          <w:lang w:val="en-GB"/>
        </w:rPr>
        <w:t xml:space="preserve"> </w:t>
      </w:r>
      <w:r w:rsidR="00083CBD">
        <w:rPr>
          <w:rFonts w:cs="Times"/>
          <w:lang w:val="en-GB"/>
        </w:rPr>
        <w:t xml:space="preserve">confirm </w:t>
      </w:r>
      <w:r w:rsidR="00EC6A60" w:rsidRPr="00F87C1B">
        <w:rPr>
          <w:rFonts w:cs="Times"/>
          <w:lang w:val="en-GB"/>
        </w:rPr>
        <w:t>once again that t</w:t>
      </w:r>
      <w:r w:rsidR="004328ED" w:rsidRPr="00F87C1B">
        <w:rPr>
          <w:rFonts w:cs="Times"/>
          <w:lang w:val="en-GB"/>
        </w:rPr>
        <w:t xml:space="preserve">he </w:t>
      </w:r>
      <w:r w:rsidRPr="00F87C1B">
        <w:rPr>
          <w:rFonts w:cs="Times"/>
          <w:lang w:val="en-GB"/>
        </w:rPr>
        <w:t xml:space="preserve">Dublin III Regulation needs in-depth </w:t>
      </w:r>
      <w:r w:rsidR="00BD3BF0" w:rsidRPr="00F87C1B">
        <w:rPr>
          <w:rFonts w:cs="Times"/>
          <w:lang w:val="en-GB"/>
        </w:rPr>
        <w:t>structural changes</w:t>
      </w:r>
      <w:r w:rsidRPr="00F87C1B">
        <w:rPr>
          <w:rFonts w:cs="Times"/>
          <w:lang w:val="en-GB"/>
        </w:rPr>
        <w:t>, which the current Dub</w:t>
      </w:r>
      <w:r w:rsidR="00937E5F">
        <w:rPr>
          <w:rFonts w:cs="Times"/>
          <w:lang w:val="en-GB"/>
        </w:rPr>
        <w:t>l</w:t>
      </w:r>
      <w:r w:rsidRPr="00F87C1B">
        <w:rPr>
          <w:rFonts w:cs="Times"/>
          <w:lang w:val="en-GB"/>
        </w:rPr>
        <w:t xml:space="preserve">in IV draft does not seem to address properly. The Court of Justice cannot </w:t>
      </w:r>
      <w:r w:rsidR="002B723A" w:rsidRPr="00F87C1B">
        <w:rPr>
          <w:rFonts w:cs="Times"/>
          <w:lang w:val="en-GB"/>
        </w:rPr>
        <w:t>create miracles and solve the</w:t>
      </w:r>
      <w:r w:rsidR="00DB267A" w:rsidRPr="00F87C1B">
        <w:rPr>
          <w:rFonts w:cs="Times"/>
          <w:lang w:val="en-GB"/>
        </w:rPr>
        <w:t xml:space="preserve"> problems created in the</w:t>
      </w:r>
      <w:r w:rsidR="00D2753D" w:rsidRPr="00F87C1B">
        <w:rPr>
          <w:rFonts w:cs="Times"/>
          <w:lang w:val="en-GB"/>
        </w:rPr>
        <w:t xml:space="preserve"> EU</w:t>
      </w:r>
      <w:r w:rsidR="00DB267A" w:rsidRPr="00F87C1B">
        <w:rPr>
          <w:rFonts w:cs="Times"/>
          <w:lang w:val="en-GB"/>
        </w:rPr>
        <w:t xml:space="preserve"> political and legislative process. However, </w:t>
      </w:r>
      <w:r w:rsidR="002B723A" w:rsidRPr="00F87C1B">
        <w:rPr>
          <w:rFonts w:cs="Times"/>
          <w:lang w:val="en-GB"/>
        </w:rPr>
        <w:t xml:space="preserve">its responsibility </w:t>
      </w:r>
      <w:r w:rsidR="00083CBD">
        <w:rPr>
          <w:rFonts w:cs="Times"/>
          <w:lang w:val="en-GB"/>
        </w:rPr>
        <w:t>for</w:t>
      </w:r>
      <w:r w:rsidR="002B723A" w:rsidRPr="00F87C1B">
        <w:rPr>
          <w:rFonts w:cs="Times"/>
          <w:lang w:val="en-GB"/>
        </w:rPr>
        <w:t xml:space="preserve"> sending </w:t>
      </w:r>
      <w:r w:rsidR="00D2753D" w:rsidRPr="00F87C1B">
        <w:rPr>
          <w:rFonts w:cs="Times"/>
          <w:lang w:val="en-GB"/>
        </w:rPr>
        <w:t>a</w:t>
      </w:r>
      <w:r w:rsidR="002B723A" w:rsidRPr="00F87C1B">
        <w:rPr>
          <w:rFonts w:cs="Times"/>
          <w:lang w:val="en-GB"/>
        </w:rPr>
        <w:t xml:space="preserve"> message </w:t>
      </w:r>
      <w:r w:rsidR="00D2753D" w:rsidRPr="00F87C1B">
        <w:rPr>
          <w:rFonts w:cs="Times"/>
          <w:lang w:val="en-GB"/>
        </w:rPr>
        <w:t xml:space="preserve">which </w:t>
      </w:r>
      <w:r w:rsidR="00083CBD">
        <w:rPr>
          <w:rFonts w:cs="Times"/>
          <w:lang w:val="en-GB"/>
        </w:rPr>
        <w:t xml:space="preserve">ignores </w:t>
      </w:r>
      <w:r w:rsidR="00D2753D" w:rsidRPr="00F87C1B">
        <w:rPr>
          <w:rFonts w:cs="Times"/>
          <w:lang w:val="en-GB"/>
        </w:rPr>
        <w:t>reality and which might have a serious impact on Member States’</w:t>
      </w:r>
      <w:r w:rsidR="002B723A" w:rsidRPr="00F87C1B">
        <w:rPr>
          <w:rFonts w:cs="Times"/>
          <w:lang w:val="en-GB"/>
        </w:rPr>
        <w:t xml:space="preserve"> </w:t>
      </w:r>
      <w:r w:rsidR="00D2753D" w:rsidRPr="00F87C1B">
        <w:rPr>
          <w:rFonts w:cs="Times"/>
          <w:lang w:val="en-GB"/>
        </w:rPr>
        <w:t xml:space="preserve">future </w:t>
      </w:r>
      <w:r w:rsidR="002B723A" w:rsidRPr="00F87C1B">
        <w:rPr>
          <w:rFonts w:cs="Times"/>
          <w:lang w:val="en-GB"/>
        </w:rPr>
        <w:t xml:space="preserve">behaviour </w:t>
      </w:r>
      <w:r w:rsidR="00D2753D" w:rsidRPr="00F87C1B">
        <w:rPr>
          <w:rFonts w:cs="Times"/>
          <w:lang w:val="en-GB"/>
        </w:rPr>
        <w:t xml:space="preserve">and </w:t>
      </w:r>
      <w:r w:rsidR="00083CBD">
        <w:rPr>
          <w:rFonts w:cs="Times"/>
          <w:lang w:val="en-GB"/>
        </w:rPr>
        <w:t xml:space="preserve">on the </w:t>
      </w:r>
      <w:r w:rsidR="00D2753D" w:rsidRPr="00F87C1B">
        <w:rPr>
          <w:rFonts w:cs="Times"/>
          <w:lang w:val="en-GB"/>
        </w:rPr>
        <w:t xml:space="preserve">further development of EU law </w:t>
      </w:r>
      <w:r w:rsidR="002B723A" w:rsidRPr="00F87C1B">
        <w:rPr>
          <w:rFonts w:cs="Times"/>
          <w:lang w:val="en-GB"/>
        </w:rPr>
        <w:t>cannot be underestimated.</w:t>
      </w:r>
    </w:p>
    <w:p w14:paraId="032FA3AC" w14:textId="77777777" w:rsidR="009E1F73" w:rsidRPr="00F87C1B" w:rsidRDefault="009E1F73" w:rsidP="002A442E">
      <w:pPr>
        <w:jc w:val="both"/>
        <w:rPr>
          <w:rFonts w:cs="Times"/>
          <w:lang w:val="en-GB"/>
        </w:rPr>
      </w:pPr>
    </w:p>
    <w:p w14:paraId="55A6A44C" w14:textId="77777777" w:rsidR="001045C5" w:rsidRPr="00F87C1B" w:rsidRDefault="001045C5" w:rsidP="002A442E">
      <w:pPr>
        <w:jc w:val="both"/>
        <w:rPr>
          <w:rFonts w:cs="Times"/>
          <w:lang w:val="en-GB"/>
        </w:rPr>
      </w:pPr>
    </w:p>
    <w:p w14:paraId="74F9D4E5" w14:textId="77777777" w:rsidR="001045C5" w:rsidRPr="00F87C1B" w:rsidRDefault="00A3433D" w:rsidP="001F49DD">
      <w:pPr>
        <w:ind w:left="284" w:hanging="284"/>
        <w:outlineLvl w:val="0"/>
        <w:rPr>
          <w:b/>
          <w:lang w:val="en-GB"/>
        </w:rPr>
      </w:pPr>
      <w:r w:rsidRPr="00F87C1B">
        <w:rPr>
          <w:b/>
          <w:lang w:val="en-GB"/>
        </w:rPr>
        <w:t>5</w:t>
      </w:r>
      <w:r w:rsidR="001045C5" w:rsidRPr="00F87C1B">
        <w:rPr>
          <w:b/>
          <w:lang w:val="en-GB"/>
        </w:rPr>
        <w:t xml:space="preserve">. </w:t>
      </w:r>
      <w:r w:rsidR="00E0249C" w:rsidRPr="00F87C1B">
        <w:rPr>
          <w:b/>
          <w:lang w:val="en-GB"/>
        </w:rPr>
        <w:t xml:space="preserve">Current and </w:t>
      </w:r>
      <w:r w:rsidR="001045C5" w:rsidRPr="00F87C1B">
        <w:rPr>
          <w:b/>
          <w:lang w:val="en-GB"/>
        </w:rPr>
        <w:t>Future Challenges for the Croatian Asylum System</w:t>
      </w:r>
    </w:p>
    <w:p w14:paraId="2F694B81" w14:textId="77777777" w:rsidR="001045C5" w:rsidRPr="00F87C1B" w:rsidRDefault="001045C5" w:rsidP="002A442E">
      <w:pPr>
        <w:jc w:val="both"/>
        <w:rPr>
          <w:rFonts w:cs="Times"/>
          <w:lang w:val="en-GB"/>
        </w:rPr>
      </w:pPr>
    </w:p>
    <w:p w14:paraId="75826682" w14:textId="77777777" w:rsidR="0001688B" w:rsidRPr="00F87C1B" w:rsidRDefault="004C5726" w:rsidP="002A442E">
      <w:pPr>
        <w:jc w:val="both"/>
        <w:rPr>
          <w:rFonts w:cs="Times"/>
          <w:lang w:val="en-GB"/>
        </w:rPr>
      </w:pPr>
      <w:r w:rsidRPr="00F87C1B">
        <w:rPr>
          <w:rFonts w:cs="Times"/>
          <w:lang w:val="en-GB"/>
        </w:rPr>
        <w:t xml:space="preserve">The </w:t>
      </w:r>
      <w:r w:rsidR="00044468" w:rsidRPr="00F87C1B">
        <w:rPr>
          <w:rFonts w:cs="Times"/>
          <w:lang w:val="en-GB"/>
        </w:rPr>
        <w:t xml:space="preserve">establishment and </w:t>
      </w:r>
      <w:r w:rsidR="000E3987" w:rsidRPr="00F87C1B">
        <w:rPr>
          <w:rFonts w:cs="Times"/>
          <w:lang w:val="en-GB"/>
        </w:rPr>
        <w:t>closure</w:t>
      </w:r>
      <w:r w:rsidR="00044468" w:rsidRPr="00F87C1B">
        <w:rPr>
          <w:rFonts w:cs="Times"/>
          <w:lang w:val="en-GB"/>
        </w:rPr>
        <w:t xml:space="preserve"> of the Western Balkans route had an impact on the number of</w:t>
      </w:r>
      <w:r w:rsidR="00B71D0B" w:rsidRPr="00F87C1B">
        <w:rPr>
          <w:rFonts w:cs="Times"/>
          <w:lang w:val="en-GB"/>
        </w:rPr>
        <w:t xml:space="preserve"> </w:t>
      </w:r>
      <w:r w:rsidR="00147E2D" w:rsidRPr="00F87C1B">
        <w:rPr>
          <w:rFonts w:cs="Times"/>
          <w:lang w:val="en-GB"/>
        </w:rPr>
        <w:t xml:space="preserve">third-country </w:t>
      </w:r>
      <w:r w:rsidR="00A70D98" w:rsidRPr="00F87C1B">
        <w:rPr>
          <w:rFonts w:cs="Times"/>
          <w:lang w:val="en-GB"/>
        </w:rPr>
        <w:t>nationals</w:t>
      </w:r>
      <w:r w:rsidR="00B71D0B" w:rsidRPr="00F87C1B">
        <w:rPr>
          <w:rFonts w:cs="Times"/>
          <w:lang w:val="en-GB"/>
        </w:rPr>
        <w:t xml:space="preserve"> entering Croatia,</w:t>
      </w:r>
      <w:r w:rsidR="00044468" w:rsidRPr="00F87C1B">
        <w:rPr>
          <w:rFonts w:cs="Times"/>
          <w:lang w:val="en-GB"/>
        </w:rPr>
        <w:t xml:space="preserve"> </w:t>
      </w:r>
      <w:r w:rsidR="00192365" w:rsidRPr="00F87C1B">
        <w:rPr>
          <w:rFonts w:cs="Times"/>
          <w:lang w:val="en-GB"/>
        </w:rPr>
        <w:t xml:space="preserve">the number of </w:t>
      </w:r>
      <w:r w:rsidR="00044468" w:rsidRPr="00F87C1B">
        <w:rPr>
          <w:rFonts w:cs="Times"/>
          <w:lang w:val="en-GB"/>
        </w:rPr>
        <w:t>asylum requests and</w:t>
      </w:r>
      <w:r w:rsidR="00192365" w:rsidRPr="00F87C1B">
        <w:rPr>
          <w:rFonts w:cs="Times"/>
          <w:lang w:val="en-GB"/>
        </w:rPr>
        <w:t xml:space="preserve"> of</w:t>
      </w:r>
      <w:r w:rsidR="00044468" w:rsidRPr="00F87C1B">
        <w:rPr>
          <w:rFonts w:cs="Times"/>
          <w:lang w:val="en-GB"/>
        </w:rPr>
        <w:t xml:space="preserve"> Dublin transfers to Croatia. </w:t>
      </w:r>
      <w:r w:rsidR="00192365" w:rsidRPr="00F87C1B">
        <w:rPr>
          <w:rFonts w:cs="Times"/>
          <w:lang w:val="en-GB"/>
        </w:rPr>
        <w:t xml:space="preserve">Consequently, </w:t>
      </w:r>
      <w:r w:rsidRPr="00F87C1B">
        <w:rPr>
          <w:rFonts w:cs="Times"/>
          <w:lang w:val="en-GB"/>
        </w:rPr>
        <w:t xml:space="preserve">2016 saw a considerable rise </w:t>
      </w:r>
      <w:r w:rsidR="00192365" w:rsidRPr="00F87C1B">
        <w:rPr>
          <w:rFonts w:cs="Times"/>
          <w:lang w:val="en-GB"/>
        </w:rPr>
        <w:t xml:space="preserve">in asylum applications in Croatia: </w:t>
      </w:r>
      <w:r w:rsidR="006966C1" w:rsidRPr="00F87C1B">
        <w:rPr>
          <w:rFonts w:cs="Times"/>
          <w:lang w:val="en-GB"/>
        </w:rPr>
        <w:t xml:space="preserve">in 2016 </w:t>
      </w:r>
      <w:r w:rsidR="00192365" w:rsidRPr="00F87C1B">
        <w:rPr>
          <w:rFonts w:cs="Times"/>
          <w:lang w:val="en-GB"/>
        </w:rPr>
        <w:t>there we</w:t>
      </w:r>
      <w:r w:rsidR="006966C1" w:rsidRPr="00F87C1B">
        <w:rPr>
          <w:rFonts w:cs="Times"/>
          <w:lang w:val="en-GB"/>
        </w:rPr>
        <w:t xml:space="preserve">re 2,225 asylum applications, </w:t>
      </w:r>
      <w:r w:rsidR="00192365" w:rsidRPr="00F87C1B">
        <w:rPr>
          <w:rFonts w:cs="Times"/>
          <w:lang w:val="en-GB"/>
        </w:rPr>
        <w:t>in comparison to only 210 in 2015.</w:t>
      </w:r>
      <w:r w:rsidR="00192365" w:rsidRPr="00F87C1B">
        <w:rPr>
          <w:rStyle w:val="FootnoteReference"/>
          <w:rFonts w:cs="Times"/>
          <w:lang w:val="en-GB"/>
        </w:rPr>
        <w:footnoteReference w:id="57"/>
      </w:r>
      <w:r w:rsidR="00192365" w:rsidRPr="00F87C1B">
        <w:rPr>
          <w:rFonts w:cs="Times"/>
          <w:lang w:val="en-GB"/>
        </w:rPr>
        <w:t xml:space="preserve"> </w:t>
      </w:r>
      <w:r w:rsidR="00D43B96" w:rsidRPr="00F87C1B">
        <w:rPr>
          <w:rFonts w:cs="Times"/>
          <w:lang w:val="en-GB"/>
        </w:rPr>
        <w:t>In relative terms, Croatia experienced the largest increase in the number of first-time asylum applicants in the EU28.</w:t>
      </w:r>
      <w:r w:rsidR="00D43B96" w:rsidRPr="00F87C1B">
        <w:rPr>
          <w:rStyle w:val="FootnoteReference"/>
          <w:rFonts w:cs="Times"/>
          <w:lang w:val="en-GB"/>
        </w:rPr>
        <w:footnoteReference w:id="58"/>
      </w:r>
      <w:r w:rsidR="00D43B96" w:rsidRPr="00F87C1B">
        <w:rPr>
          <w:rFonts w:cs="Times"/>
          <w:lang w:val="en-GB"/>
        </w:rPr>
        <w:t xml:space="preserve"> </w:t>
      </w:r>
      <w:r w:rsidR="00192365" w:rsidRPr="00F87C1B">
        <w:rPr>
          <w:rFonts w:cs="Times"/>
          <w:lang w:val="en-GB"/>
        </w:rPr>
        <w:t xml:space="preserve">The number of Dublin requests </w:t>
      </w:r>
      <w:r w:rsidR="00D43B96" w:rsidRPr="00F87C1B">
        <w:rPr>
          <w:rFonts w:cs="Times"/>
          <w:lang w:val="en-GB"/>
        </w:rPr>
        <w:t>also ro</w:t>
      </w:r>
      <w:r w:rsidR="0059230C" w:rsidRPr="00F87C1B">
        <w:rPr>
          <w:rFonts w:cs="Times"/>
          <w:lang w:val="en-GB"/>
        </w:rPr>
        <w:t xml:space="preserve">se from 24 in </w:t>
      </w:r>
      <w:r w:rsidR="0059230C" w:rsidRPr="00F87C1B">
        <w:rPr>
          <w:rFonts w:cs="Times"/>
          <w:lang w:val="en-GB"/>
        </w:rPr>
        <w:lastRenderedPageBreak/>
        <w:t>2015 to 570 in 2016.</w:t>
      </w:r>
      <w:r w:rsidR="0059230C" w:rsidRPr="00F87C1B">
        <w:rPr>
          <w:rStyle w:val="FootnoteReference"/>
          <w:rFonts w:cs="Times"/>
          <w:lang w:val="en-GB"/>
        </w:rPr>
        <w:footnoteReference w:id="59"/>
      </w:r>
      <w:r w:rsidR="000E3987" w:rsidRPr="00F87C1B">
        <w:rPr>
          <w:rFonts w:cs="Times"/>
          <w:lang w:val="en-GB"/>
        </w:rPr>
        <w:t xml:space="preserve"> With the exception of a ruling of the Belgian Council of Alien Law Litigation in August 2016 and a ruling of the District Court of </w:t>
      </w:r>
      <w:proofErr w:type="gramStart"/>
      <w:r w:rsidR="000E3987" w:rsidRPr="00F87C1B">
        <w:rPr>
          <w:rFonts w:cs="Times"/>
          <w:lang w:val="en-GB"/>
        </w:rPr>
        <w:t>the</w:t>
      </w:r>
      <w:proofErr w:type="gramEnd"/>
      <w:r w:rsidR="000E3987" w:rsidRPr="00F87C1B">
        <w:rPr>
          <w:rFonts w:cs="Times"/>
          <w:lang w:val="en-GB"/>
        </w:rPr>
        <w:t xml:space="preserve"> Hague, </w:t>
      </w:r>
      <w:r w:rsidR="006966C1" w:rsidRPr="00F87C1B">
        <w:rPr>
          <w:rFonts w:cs="Times"/>
          <w:lang w:val="en-GB"/>
        </w:rPr>
        <w:t xml:space="preserve">there were no cases of suspension of </w:t>
      </w:r>
      <w:r w:rsidR="000E3987" w:rsidRPr="00F87C1B">
        <w:rPr>
          <w:rFonts w:cs="Times"/>
          <w:lang w:val="en-GB"/>
        </w:rPr>
        <w:t>Dublin transfers to Croatia by national courts</w:t>
      </w:r>
      <w:r w:rsidR="006966C1" w:rsidRPr="00F87C1B">
        <w:rPr>
          <w:rFonts w:cs="Times"/>
          <w:lang w:val="en-GB"/>
        </w:rPr>
        <w:t xml:space="preserve"> in other Member States</w:t>
      </w:r>
      <w:r w:rsidR="0001688B" w:rsidRPr="00F87C1B">
        <w:rPr>
          <w:rFonts w:cs="Times"/>
          <w:lang w:val="en-GB"/>
        </w:rPr>
        <w:t xml:space="preserve"> on account of a genuine risk</w:t>
      </w:r>
      <w:r w:rsidR="00E0249C" w:rsidRPr="00F87C1B">
        <w:rPr>
          <w:rFonts w:cs="Times"/>
          <w:lang w:val="en-GB"/>
        </w:rPr>
        <w:t xml:space="preserve"> of</w:t>
      </w:r>
      <w:r w:rsidR="0001688B" w:rsidRPr="00F87C1B">
        <w:rPr>
          <w:rFonts w:cs="Times"/>
          <w:lang w:val="en-GB"/>
        </w:rPr>
        <w:t xml:space="preserve"> inhuman or degrading treatment.</w:t>
      </w:r>
      <w:r w:rsidR="000E3987" w:rsidRPr="00F87C1B">
        <w:rPr>
          <w:rStyle w:val="FootnoteReference"/>
          <w:rFonts w:cs="Times"/>
          <w:lang w:val="en-GB"/>
        </w:rPr>
        <w:footnoteReference w:id="60"/>
      </w:r>
      <w:r w:rsidR="000E3987" w:rsidRPr="00F87C1B">
        <w:rPr>
          <w:rFonts w:cs="Times"/>
          <w:lang w:val="en-GB"/>
        </w:rPr>
        <w:t xml:space="preserve"> </w:t>
      </w:r>
      <w:r w:rsidR="00171689" w:rsidRPr="00F87C1B">
        <w:rPr>
          <w:rFonts w:cs="Times"/>
          <w:lang w:val="en-GB"/>
        </w:rPr>
        <w:t xml:space="preserve">In </w:t>
      </w:r>
      <w:r w:rsidR="00303C9C">
        <w:rPr>
          <w:rFonts w:cs="Times"/>
          <w:lang w:val="en-GB"/>
        </w:rPr>
        <w:t xml:space="preserve">a </w:t>
      </w:r>
      <w:r w:rsidR="00171689" w:rsidRPr="00F87C1B">
        <w:rPr>
          <w:rFonts w:cs="Times"/>
          <w:lang w:val="en-GB"/>
        </w:rPr>
        <w:t>similar vein, i</w:t>
      </w:r>
      <w:r w:rsidR="0001688B" w:rsidRPr="00F87C1B">
        <w:rPr>
          <w:rFonts w:cs="Times"/>
          <w:lang w:val="en-GB"/>
        </w:rPr>
        <w:t xml:space="preserve">n </w:t>
      </w:r>
      <w:proofErr w:type="gramStart"/>
      <w:r w:rsidR="0001688B" w:rsidRPr="00F87C1B">
        <w:rPr>
          <w:rFonts w:cs="Times"/>
          <w:lang w:val="en-GB"/>
        </w:rPr>
        <w:t>its</w:t>
      </w:r>
      <w:proofErr w:type="gramEnd"/>
      <w:r w:rsidR="0001688B" w:rsidRPr="00F87C1B">
        <w:rPr>
          <w:rFonts w:cs="Times"/>
          <w:lang w:val="en-GB"/>
        </w:rPr>
        <w:t xml:space="preserve"> ruling in </w:t>
      </w:r>
      <w:r w:rsidR="0001688B" w:rsidRPr="00F87C1B">
        <w:rPr>
          <w:rFonts w:cs="Times"/>
          <w:i/>
          <w:lang w:val="en-GB"/>
        </w:rPr>
        <w:t>C.K.</w:t>
      </w:r>
      <w:r w:rsidR="00303C9C">
        <w:rPr>
          <w:rFonts w:cs="Times"/>
          <w:lang w:val="en-GB"/>
        </w:rPr>
        <w:t>,</w:t>
      </w:r>
      <w:r w:rsidR="0001688B" w:rsidRPr="00F87C1B">
        <w:rPr>
          <w:rFonts w:cs="Times"/>
          <w:lang w:val="en-GB"/>
        </w:rPr>
        <w:t xml:space="preserve"> the Court of Justice </w:t>
      </w:r>
      <w:r w:rsidR="00171689" w:rsidRPr="00F87C1B">
        <w:rPr>
          <w:rFonts w:cs="Times"/>
          <w:lang w:val="en-GB"/>
        </w:rPr>
        <w:t xml:space="preserve">ascertained that there </w:t>
      </w:r>
      <w:r w:rsidR="00303C9C">
        <w:rPr>
          <w:rFonts w:cs="Times"/>
          <w:lang w:val="en-GB"/>
        </w:rPr>
        <w:t>were</w:t>
      </w:r>
      <w:r w:rsidR="00171689" w:rsidRPr="00F87C1B">
        <w:rPr>
          <w:rFonts w:cs="Times"/>
          <w:lang w:val="en-GB"/>
        </w:rPr>
        <w:t xml:space="preserve"> no substantial grounds for believing that there </w:t>
      </w:r>
      <w:r w:rsidR="00303C9C">
        <w:rPr>
          <w:rFonts w:cs="Times"/>
          <w:lang w:val="en-GB"/>
        </w:rPr>
        <w:t xml:space="preserve">were </w:t>
      </w:r>
      <w:r w:rsidR="00171689" w:rsidRPr="00F87C1B">
        <w:rPr>
          <w:rFonts w:cs="Times"/>
          <w:lang w:val="en-GB"/>
        </w:rPr>
        <w:t>systemic flaws in the Croatian asylum system.</w:t>
      </w:r>
      <w:r w:rsidR="00171689" w:rsidRPr="00F87C1B">
        <w:rPr>
          <w:rStyle w:val="FootnoteReference"/>
          <w:rFonts w:cs="Times"/>
          <w:lang w:val="en-GB"/>
        </w:rPr>
        <w:footnoteReference w:id="61"/>
      </w:r>
      <w:r w:rsidR="00171689" w:rsidRPr="00F87C1B">
        <w:rPr>
          <w:rFonts w:cs="Times"/>
          <w:lang w:val="en-GB"/>
        </w:rPr>
        <w:t xml:space="preserve"> </w:t>
      </w:r>
    </w:p>
    <w:p w14:paraId="26A3707B" w14:textId="77777777" w:rsidR="00096954" w:rsidRPr="00F87C1B" w:rsidRDefault="00096954" w:rsidP="00096954">
      <w:pPr>
        <w:jc w:val="both"/>
        <w:rPr>
          <w:rFonts w:cs="Times"/>
          <w:lang w:val="en-GB"/>
        </w:rPr>
      </w:pPr>
    </w:p>
    <w:p w14:paraId="671EDDD9" w14:textId="77777777" w:rsidR="00096954" w:rsidRPr="00F87C1B" w:rsidRDefault="00096954" w:rsidP="00096954">
      <w:pPr>
        <w:jc w:val="both"/>
        <w:rPr>
          <w:rFonts w:cs="Times"/>
          <w:lang w:val="en-GB"/>
        </w:rPr>
      </w:pPr>
      <w:r w:rsidRPr="00F87C1B">
        <w:rPr>
          <w:rFonts w:cs="Times"/>
          <w:lang w:val="en-GB"/>
        </w:rPr>
        <w:t>The upward trend of asylum applications was also visible in the increased number of unaccompanied children requesting asylum in Croatia. In 2016, there were 116 such requests, bringing about a number of practical and legal challenges associated with the unique status of unaccompanied minors.</w:t>
      </w:r>
      <w:r w:rsidRPr="00F87C1B">
        <w:rPr>
          <w:rStyle w:val="FootnoteReference"/>
          <w:rFonts w:cs="Times"/>
          <w:lang w:val="en-GB"/>
        </w:rPr>
        <w:footnoteReference w:id="62"/>
      </w:r>
      <w:r w:rsidRPr="00F87C1B">
        <w:rPr>
          <w:rFonts w:cs="Times"/>
          <w:lang w:val="en-GB"/>
        </w:rPr>
        <w:t xml:space="preserve">  In that context, one of the issues in 2016 was the appointment of one of the persons with whom the unaccompanied minor entered Croatia as his/her legal guardian. </w:t>
      </w:r>
      <w:r w:rsidR="00EC2B13" w:rsidRPr="00F87C1B">
        <w:rPr>
          <w:rFonts w:cs="Times"/>
          <w:lang w:val="en-GB"/>
        </w:rPr>
        <w:t xml:space="preserve">Such </w:t>
      </w:r>
      <w:r w:rsidR="00303C9C">
        <w:rPr>
          <w:rFonts w:cs="Times"/>
          <w:lang w:val="en-GB"/>
        </w:rPr>
        <w:t xml:space="preserve">a </w:t>
      </w:r>
      <w:r w:rsidR="00EC2B13" w:rsidRPr="00F87C1B">
        <w:rPr>
          <w:rFonts w:cs="Times"/>
          <w:lang w:val="en-GB"/>
        </w:rPr>
        <w:t>practice</w:t>
      </w:r>
      <w:r w:rsidRPr="00F87C1B">
        <w:rPr>
          <w:rFonts w:cs="Times"/>
          <w:lang w:val="en-GB"/>
        </w:rPr>
        <w:t xml:space="preserve"> was potentially risky for the child, as it was impossible to ascertain whether the person appointed as a guardian fulfilled all the standards necessary for performing his/her task. Fortunately, the Croatian authorities</w:t>
      </w:r>
      <w:r w:rsidR="00B201AA" w:rsidRPr="00F87C1B">
        <w:rPr>
          <w:rFonts w:cs="Times"/>
          <w:lang w:val="en-GB"/>
        </w:rPr>
        <w:t xml:space="preserve"> abandoned</w:t>
      </w:r>
      <w:r w:rsidRPr="00F87C1B">
        <w:rPr>
          <w:rFonts w:cs="Times"/>
          <w:lang w:val="en-GB"/>
        </w:rPr>
        <w:t xml:space="preserve"> </w:t>
      </w:r>
      <w:r w:rsidR="00E64CEE" w:rsidRPr="00F87C1B">
        <w:rPr>
          <w:rFonts w:cs="Times"/>
          <w:lang w:val="en-GB"/>
        </w:rPr>
        <w:t>the practice</w:t>
      </w:r>
      <w:r w:rsidRPr="00F87C1B">
        <w:rPr>
          <w:rFonts w:cs="Times"/>
          <w:lang w:val="en-GB"/>
        </w:rPr>
        <w:t xml:space="preserve"> and it is no longer performed in Croatia.</w:t>
      </w:r>
      <w:r w:rsidRPr="00F87C1B">
        <w:rPr>
          <w:rStyle w:val="FootnoteReference"/>
          <w:rFonts w:cs="Times"/>
          <w:lang w:val="en-GB"/>
        </w:rPr>
        <w:footnoteReference w:id="63"/>
      </w:r>
      <w:r w:rsidRPr="00F87C1B">
        <w:rPr>
          <w:rFonts w:cs="Times"/>
          <w:lang w:val="en-GB"/>
        </w:rPr>
        <w:t xml:space="preserve"> </w:t>
      </w:r>
    </w:p>
    <w:p w14:paraId="2631AC65" w14:textId="77777777" w:rsidR="00171689" w:rsidRPr="00F87C1B" w:rsidRDefault="00171689" w:rsidP="002A442E">
      <w:pPr>
        <w:jc w:val="both"/>
        <w:rPr>
          <w:sz w:val="20"/>
          <w:szCs w:val="20"/>
          <w:lang w:val="en-GB"/>
        </w:rPr>
      </w:pPr>
    </w:p>
    <w:p w14:paraId="5AAF5B02" w14:textId="77777777" w:rsidR="006F429F" w:rsidRPr="00F87C1B" w:rsidRDefault="006F429F" w:rsidP="006F429F">
      <w:pPr>
        <w:jc w:val="both"/>
        <w:rPr>
          <w:rFonts w:cs="Times"/>
          <w:lang w:val="en-GB"/>
        </w:rPr>
      </w:pPr>
      <w:r w:rsidRPr="00F87C1B">
        <w:rPr>
          <w:rFonts w:cs="Times"/>
          <w:lang w:val="en-GB"/>
        </w:rPr>
        <w:t xml:space="preserve">The 2016 exponential increase in the number of asylum applications was the most likely reason for </w:t>
      </w:r>
      <w:r w:rsidR="00303C9C">
        <w:rPr>
          <w:rFonts w:cs="Times"/>
          <w:lang w:val="en-GB"/>
        </w:rPr>
        <w:t>the</w:t>
      </w:r>
      <w:r w:rsidRPr="00F87C1B">
        <w:rPr>
          <w:rFonts w:cs="Times"/>
          <w:lang w:val="en-GB"/>
        </w:rPr>
        <w:t xml:space="preserve"> trend of prolonged asylum procedures exceeding the 6-month period,</w:t>
      </w:r>
      <w:r w:rsidRPr="00F87C1B">
        <w:rPr>
          <w:rStyle w:val="FootnoteReference"/>
          <w:rFonts w:cs="Times"/>
          <w:lang w:val="en-GB"/>
        </w:rPr>
        <w:footnoteReference w:id="64"/>
      </w:r>
      <w:r w:rsidRPr="00F87C1B">
        <w:rPr>
          <w:rFonts w:cs="Times"/>
          <w:lang w:val="en-GB"/>
        </w:rPr>
        <w:t xml:space="preserve"> as prescribed by the Croatian </w:t>
      </w:r>
      <w:r w:rsidR="00303C9C">
        <w:rPr>
          <w:rFonts w:cs="Times"/>
          <w:lang w:val="en-GB"/>
        </w:rPr>
        <w:t xml:space="preserve">Act </w:t>
      </w:r>
      <w:r w:rsidRPr="00F87C1B">
        <w:rPr>
          <w:rFonts w:cs="Times"/>
          <w:lang w:val="en-GB"/>
        </w:rPr>
        <w:t>on International and Temporary Protection.</w:t>
      </w:r>
      <w:r w:rsidRPr="00F87C1B">
        <w:rPr>
          <w:rStyle w:val="FootnoteReference"/>
          <w:rFonts w:cs="Times"/>
          <w:lang w:val="en-GB"/>
        </w:rPr>
        <w:footnoteReference w:id="65"/>
      </w:r>
      <w:r w:rsidRPr="00F87C1B">
        <w:rPr>
          <w:rFonts w:cs="Times"/>
          <w:lang w:val="en-GB"/>
        </w:rPr>
        <w:t xml:space="preserve"> Altogether</w:t>
      </w:r>
      <w:r w:rsidR="00303C9C">
        <w:rPr>
          <w:rFonts w:cs="Times"/>
          <w:lang w:val="en-GB"/>
        </w:rPr>
        <w:t>,</w:t>
      </w:r>
      <w:r w:rsidRPr="00F87C1B">
        <w:rPr>
          <w:rFonts w:cs="Times"/>
          <w:lang w:val="en-GB"/>
        </w:rPr>
        <w:t xml:space="preserve"> 285 first-instance and 105 final asylum decisions were reached in Croatia in 2016.</w:t>
      </w:r>
      <w:r w:rsidRPr="00F87C1B">
        <w:rPr>
          <w:rStyle w:val="FootnoteReference"/>
          <w:rFonts w:cs="Times"/>
          <w:lang w:val="en-GB"/>
        </w:rPr>
        <w:footnoteReference w:id="66"/>
      </w:r>
      <w:r w:rsidRPr="00F87C1B">
        <w:rPr>
          <w:rFonts w:cs="Times"/>
          <w:lang w:val="en-GB"/>
        </w:rPr>
        <w:t xml:space="preserve"> Out of the 285 first-instance decisions, 100 were positive, while 185 were rejections. </w:t>
      </w:r>
      <w:r w:rsidR="00303C9C">
        <w:rPr>
          <w:rFonts w:cs="Times"/>
          <w:lang w:val="en-GB"/>
        </w:rPr>
        <w:t>T</w:t>
      </w:r>
      <w:r w:rsidRPr="00F87C1B">
        <w:rPr>
          <w:rFonts w:cs="Times"/>
          <w:lang w:val="en-GB"/>
        </w:rPr>
        <w:t xml:space="preserve">he fact that all the 105 final decisions were rejections stands out and raises questions about the causes of such a high percentage of negative decisions. </w:t>
      </w:r>
    </w:p>
    <w:p w14:paraId="14433E09" w14:textId="77777777" w:rsidR="006F429F" w:rsidRPr="00F87C1B" w:rsidRDefault="006F429F" w:rsidP="006F429F">
      <w:pPr>
        <w:jc w:val="both"/>
        <w:rPr>
          <w:rFonts w:cs="Times"/>
          <w:lang w:val="en-GB"/>
        </w:rPr>
      </w:pPr>
    </w:p>
    <w:p w14:paraId="72AF9EBB" w14:textId="77777777" w:rsidR="008016D4" w:rsidRPr="00F87C1B" w:rsidRDefault="00303C9C" w:rsidP="008016D4">
      <w:pPr>
        <w:jc w:val="both"/>
        <w:rPr>
          <w:rFonts w:cs="Times"/>
          <w:lang w:val="en-GB"/>
        </w:rPr>
      </w:pPr>
      <w:r>
        <w:rPr>
          <w:rFonts w:cs="Times"/>
          <w:lang w:val="en-GB"/>
        </w:rPr>
        <w:t>The</w:t>
      </w:r>
      <w:r w:rsidR="008016D4" w:rsidRPr="00F87C1B">
        <w:rPr>
          <w:rFonts w:cs="Times"/>
          <w:lang w:val="en-GB"/>
        </w:rPr>
        <w:t xml:space="preserve"> alarming number of rejections of both asylum applications and of applications for temporary/long-term stay and for the acquisition of Croatian </w:t>
      </w:r>
      <w:r w:rsidR="008016D4" w:rsidRPr="00F87C1B">
        <w:rPr>
          <w:rFonts w:cs="Times"/>
          <w:lang w:val="en-GB"/>
        </w:rPr>
        <w:lastRenderedPageBreak/>
        <w:t xml:space="preserve">nationality in 2017 was based on </w:t>
      </w:r>
      <w:r>
        <w:rPr>
          <w:rFonts w:cs="Times"/>
          <w:lang w:val="en-GB"/>
        </w:rPr>
        <w:t xml:space="preserve">the </w:t>
      </w:r>
      <w:r w:rsidR="008016D4" w:rsidRPr="00F87C1B">
        <w:rPr>
          <w:rFonts w:cs="Times"/>
          <w:lang w:val="en-GB"/>
        </w:rPr>
        <w:t xml:space="preserve">classified security reasons provided by the Croatian Security Agency (SOA). Under Article 41 of the Croatian Security Vetting Act, </w:t>
      </w:r>
      <w:r w:rsidR="00E0249C" w:rsidRPr="00F87C1B">
        <w:rPr>
          <w:rFonts w:cs="Times"/>
          <w:lang w:val="en-GB"/>
        </w:rPr>
        <w:t>the Croatian Security Agency</w:t>
      </w:r>
      <w:r w:rsidR="008016D4" w:rsidRPr="00F87C1B">
        <w:rPr>
          <w:rFonts w:cs="Times"/>
          <w:lang w:val="en-GB"/>
        </w:rPr>
        <w:t xml:space="preserve"> issues an opinion on the</w:t>
      </w:r>
      <w:r w:rsidR="00B50862" w:rsidRPr="00F87C1B">
        <w:rPr>
          <w:rFonts w:cs="Times"/>
          <w:lang w:val="en-GB"/>
        </w:rPr>
        <w:t xml:space="preserve"> existence or non-existence of a </w:t>
      </w:r>
      <w:r>
        <w:rPr>
          <w:rFonts w:cs="Times"/>
          <w:lang w:val="en-GB"/>
        </w:rPr>
        <w:t>“</w:t>
      </w:r>
      <w:r w:rsidR="00B50862" w:rsidRPr="00F87C1B">
        <w:rPr>
          <w:rFonts w:cs="Times"/>
          <w:lang w:val="en-GB"/>
        </w:rPr>
        <w:t>security obstacle</w:t>
      </w:r>
      <w:r>
        <w:rPr>
          <w:rFonts w:cs="Times"/>
          <w:lang w:val="en-GB"/>
        </w:rPr>
        <w:t>”</w:t>
      </w:r>
      <w:r w:rsidR="008016D4" w:rsidRPr="00F87C1B">
        <w:rPr>
          <w:rFonts w:cs="Times"/>
          <w:lang w:val="en-GB"/>
        </w:rPr>
        <w:t xml:space="preserve"> </w:t>
      </w:r>
      <w:r>
        <w:rPr>
          <w:rFonts w:cs="Times"/>
          <w:lang w:val="en-GB"/>
        </w:rPr>
        <w:t>for</w:t>
      </w:r>
      <w:r w:rsidR="008016D4" w:rsidRPr="00F87C1B">
        <w:rPr>
          <w:rFonts w:cs="Times"/>
          <w:lang w:val="en-GB"/>
        </w:rPr>
        <w:t xml:space="preserve"> </w:t>
      </w:r>
      <w:r w:rsidR="00B50862" w:rsidRPr="00F87C1B">
        <w:rPr>
          <w:rFonts w:cs="Times"/>
          <w:lang w:val="en-GB"/>
        </w:rPr>
        <w:t>a third-country national who resides or intends to reside in Croatia or who is applying for Croatian nationality, without informing the applicant of the reasons for its opinion.</w:t>
      </w:r>
      <w:r w:rsidR="00B50862" w:rsidRPr="00F87C1B">
        <w:rPr>
          <w:rStyle w:val="FootnoteReference"/>
          <w:rFonts w:cs="Times"/>
          <w:lang w:val="en-GB"/>
        </w:rPr>
        <w:footnoteReference w:id="67"/>
      </w:r>
      <w:r w:rsidR="00B50862" w:rsidRPr="00F87C1B">
        <w:rPr>
          <w:rFonts w:cs="Times"/>
          <w:lang w:val="en-GB"/>
        </w:rPr>
        <w:t xml:space="preserve"> The opinion is binding on the Croatian asylum authorities, which have to reject the application without having access to the background reasoning of the Agency. The fact that the asylum applicant or a third-country national applying for residence/Croatian nationality has no access to the Agency’s reasoning supporting its negative opinion has been criticised </w:t>
      </w:r>
      <w:r w:rsidR="005D70B8" w:rsidRPr="00F87C1B">
        <w:rPr>
          <w:rFonts w:cs="Times"/>
          <w:lang w:val="en-GB"/>
        </w:rPr>
        <w:t>as a breach of the applicant’s right to an effective remedy.</w:t>
      </w:r>
      <w:r w:rsidR="005D70B8" w:rsidRPr="00F87C1B">
        <w:rPr>
          <w:rStyle w:val="FootnoteReference"/>
          <w:rFonts w:cs="Times"/>
          <w:lang w:val="en-GB"/>
        </w:rPr>
        <w:footnoteReference w:id="68"/>
      </w:r>
      <w:r w:rsidR="005D70B8" w:rsidRPr="00F87C1B">
        <w:rPr>
          <w:rFonts w:cs="Times"/>
          <w:lang w:val="en-GB"/>
        </w:rPr>
        <w:t xml:space="preserve"> Up until the beginning of November 2017, there </w:t>
      </w:r>
      <w:r>
        <w:rPr>
          <w:rFonts w:cs="Times"/>
          <w:lang w:val="en-GB"/>
        </w:rPr>
        <w:t xml:space="preserve">were </w:t>
      </w:r>
      <w:r w:rsidR="005D70B8" w:rsidRPr="00F87C1B">
        <w:rPr>
          <w:rFonts w:cs="Times"/>
          <w:lang w:val="en-GB"/>
        </w:rPr>
        <w:t xml:space="preserve">76 such cases, out of which 54 </w:t>
      </w:r>
      <w:r>
        <w:rPr>
          <w:rFonts w:cs="Times"/>
          <w:lang w:val="en-GB"/>
        </w:rPr>
        <w:t xml:space="preserve">were </w:t>
      </w:r>
      <w:r w:rsidR="005D70B8" w:rsidRPr="00F87C1B">
        <w:rPr>
          <w:rFonts w:cs="Times"/>
          <w:lang w:val="en-GB"/>
        </w:rPr>
        <w:t>appealed before the Administrative Court.</w:t>
      </w:r>
      <w:r w:rsidR="005D70B8" w:rsidRPr="00F87C1B">
        <w:rPr>
          <w:rStyle w:val="FootnoteReference"/>
          <w:rFonts w:cs="Times"/>
          <w:lang w:val="en-GB"/>
        </w:rPr>
        <w:footnoteReference w:id="69"/>
      </w:r>
      <w:r w:rsidR="00987691" w:rsidRPr="00F87C1B">
        <w:rPr>
          <w:rFonts w:cs="Times"/>
          <w:lang w:val="en-GB"/>
        </w:rPr>
        <w:t xml:space="preserve"> However,</w:t>
      </w:r>
      <w:r w:rsidR="008272D1" w:rsidRPr="00F87C1B">
        <w:rPr>
          <w:rFonts w:cs="Times"/>
          <w:lang w:val="en-GB"/>
        </w:rPr>
        <w:t xml:space="preserve"> the applicants and their attorney cannot access the security files, which makes the appellate procedure very difficult for them. </w:t>
      </w:r>
    </w:p>
    <w:p w14:paraId="5669665E" w14:textId="77777777" w:rsidR="008272D1" w:rsidRPr="00F87C1B" w:rsidRDefault="008272D1" w:rsidP="008016D4">
      <w:pPr>
        <w:jc w:val="both"/>
        <w:rPr>
          <w:rFonts w:cs="Times"/>
          <w:lang w:val="en-GB"/>
        </w:rPr>
      </w:pPr>
    </w:p>
    <w:p w14:paraId="2488F67F" w14:textId="77777777" w:rsidR="00686FB6" w:rsidRPr="00F87C1B" w:rsidRDefault="00E5097C" w:rsidP="008016D4">
      <w:pPr>
        <w:jc w:val="both"/>
        <w:rPr>
          <w:rFonts w:cs="Times"/>
          <w:lang w:val="en-GB"/>
        </w:rPr>
      </w:pPr>
      <w:r w:rsidRPr="00F87C1B">
        <w:rPr>
          <w:rFonts w:cs="Times"/>
          <w:lang w:val="en-GB"/>
        </w:rPr>
        <w:t xml:space="preserve">Another </w:t>
      </w:r>
      <w:r w:rsidR="00CD3BF9" w:rsidRPr="00F87C1B">
        <w:rPr>
          <w:rFonts w:cs="Times"/>
          <w:lang w:val="en-GB"/>
        </w:rPr>
        <w:t>disturbing</w:t>
      </w:r>
      <w:r w:rsidRPr="00F87C1B">
        <w:rPr>
          <w:rFonts w:cs="Times"/>
          <w:lang w:val="en-GB"/>
        </w:rPr>
        <w:t xml:space="preserve"> trend reported in 2016 and 2017 </w:t>
      </w:r>
      <w:r w:rsidR="0084610A">
        <w:rPr>
          <w:rFonts w:cs="Times"/>
          <w:lang w:val="en-GB"/>
        </w:rPr>
        <w:t xml:space="preserve">has </w:t>
      </w:r>
      <w:r w:rsidRPr="00F87C1B">
        <w:rPr>
          <w:rFonts w:cs="Times"/>
          <w:lang w:val="en-GB"/>
        </w:rPr>
        <w:t xml:space="preserve">been </w:t>
      </w:r>
      <w:r w:rsidR="0084610A">
        <w:rPr>
          <w:rFonts w:cs="Times"/>
          <w:lang w:val="en-GB"/>
        </w:rPr>
        <w:t xml:space="preserve">the </w:t>
      </w:r>
      <w:r w:rsidRPr="00F87C1B">
        <w:rPr>
          <w:rFonts w:cs="Times"/>
          <w:lang w:val="en-GB"/>
        </w:rPr>
        <w:t>pushbacks</w:t>
      </w:r>
      <w:r w:rsidR="00852FEC" w:rsidRPr="00F87C1B">
        <w:rPr>
          <w:rFonts w:cs="Times"/>
          <w:lang w:val="en-GB"/>
        </w:rPr>
        <w:t xml:space="preserve"> of</w:t>
      </w:r>
      <w:r w:rsidRPr="00F87C1B">
        <w:rPr>
          <w:rFonts w:cs="Times"/>
          <w:lang w:val="en-GB"/>
        </w:rPr>
        <w:t xml:space="preserve"> several hundred migrants</w:t>
      </w:r>
      <w:r w:rsidR="00E0249C" w:rsidRPr="00F87C1B">
        <w:rPr>
          <w:rFonts w:cs="Times"/>
          <w:lang w:val="en-GB"/>
        </w:rPr>
        <w:t xml:space="preserve"> at the Croatian-Serbian border</w:t>
      </w:r>
      <w:r w:rsidRPr="00F87C1B">
        <w:rPr>
          <w:rFonts w:cs="Times"/>
          <w:lang w:val="en-GB"/>
        </w:rPr>
        <w:t xml:space="preserve"> to Serbia</w:t>
      </w:r>
      <w:r w:rsidR="00852FEC" w:rsidRPr="00F87C1B">
        <w:rPr>
          <w:rFonts w:cs="Times"/>
          <w:lang w:val="en-GB"/>
        </w:rPr>
        <w:t xml:space="preserve">, without taking an individual approach to each migrant and without </w:t>
      </w:r>
      <w:r w:rsidRPr="00F87C1B">
        <w:rPr>
          <w:rFonts w:cs="Times"/>
          <w:lang w:val="en-GB"/>
        </w:rPr>
        <w:t>enabling them to apply for asylum in Croatia.</w:t>
      </w:r>
      <w:r w:rsidR="00852FEC" w:rsidRPr="00F87C1B">
        <w:rPr>
          <w:rStyle w:val="FootnoteReference"/>
          <w:rFonts w:cs="Times"/>
          <w:lang w:val="en-GB"/>
        </w:rPr>
        <w:footnoteReference w:id="70"/>
      </w:r>
      <w:r w:rsidRPr="00F87C1B">
        <w:rPr>
          <w:rFonts w:cs="Times"/>
          <w:lang w:val="en-GB"/>
        </w:rPr>
        <w:t xml:space="preserve"> It has been reported that, on these occasions, the Croatian police authorities beat and insult</w:t>
      </w:r>
      <w:r w:rsidR="0084610A">
        <w:rPr>
          <w:rFonts w:cs="Times"/>
          <w:lang w:val="en-GB"/>
        </w:rPr>
        <w:t>ed</w:t>
      </w:r>
      <w:r w:rsidRPr="00F87C1B">
        <w:rPr>
          <w:rFonts w:cs="Times"/>
          <w:lang w:val="en-GB"/>
        </w:rPr>
        <w:t xml:space="preserve"> the migrants, forcing them to take off their shoes and kneel or stand in the snow.</w:t>
      </w:r>
      <w:r w:rsidR="005D0081" w:rsidRPr="00F87C1B">
        <w:rPr>
          <w:rStyle w:val="FootnoteReference"/>
          <w:rFonts w:cs="Times"/>
          <w:lang w:val="en-GB"/>
        </w:rPr>
        <w:footnoteReference w:id="71"/>
      </w:r>
      <w:r w:rsidRPr="00F87C1B">
        <w:rPr>
          <w:rFonts w:cs="Times"/>
          <w:lang w:val="en-GB"/>
        </w:rPr>
        <w:t xml:space="preserve"> </w:t>
      </w:r>
      <w:r w:rsidR="00686FB6" w:rsidRPr="00F87C1B">
        <w:rPr>
          <w:rFonts w:cs="Times"/>
          <w:lang w:val="en-GB"/>
        </w:rPr>
        <w:t xml:space="preserve">Upon objections, the Croatian Ministry of </w:t>
      </w:r>
      <w:r w:rsidR="0084610A">
        <w:rPr>
          <w:rFonts w:cs="Times"/>
          <w:lang w:val="en-GB"/>
        </w:rPr>
        <w:t xml:space="preserve">the </w:t>
      </w:r>
      <w:r w:rsidR="00686FB6" w:rsidRPr="00F87C1B">
        <w:rPr>
          <w:rFonts w:cs="Times"/>
          <w:lang w:val="en-GB"/>
        </w:rPr>
        <w:t xml:space="preserve">Interior </w:t>
      </w:r>
      <w:r w:rsidR="005D0081" w:rsidRPr="00F87C1B">
        <w:rPr>
          <w:rFonts w:cs="Times"/>
          <w:lang w:val="en-GB"/>
        </w:rPr>
        <w:t>stated</w:t>
      </w:r>
      <w:r w:rsidR="00686FB6" w:rsidRPr="00F87C1B">
        <w:rPr>
          <w:rFonts w:cs="Times"/>
          <w:lang w:val="en-GB"/>
        </w:rPr>
        <w:t xml:space="preserve"> that the legally required procedures </w:t>
      </w:r>
      <w:r w:rsidR="0084610A">
        <w:rPr>
          <w:rFonts w:cs="Times"/>
          <w:lang w:val="en-GB"/>
        </w:rPr>
        <w:t xml:space="preserve">were </w:t>
      </w:r>
      <w:r w:rsidR="00686FB6" w:rsidRPr="00F87C1B">
        <w:rPr>
          <w:rFonts w:cs="Times"/>
          <w:lang w:val="en-GB"/>
        </w:rPr>
        <w:t>being fully respected and that police officers ha</w:t>
      </w:r>
      <w:r w:rsidR="0084610A">
        <w:rPr>
          <w:rFonts w:cs="Times"/>
          <w:lang w:val="en-GB"/>
        </w:rPr>
        <w:t>d</w:t>
      </w:r>
      <w:r w:rsidR="00686FB6" w:rsidRPr="00F87C1B">
        <w:rPr>
          <w:rFonts w:cs="Times"/>
          <w:lang w:val="en-GB"/>
        </w:rPr>
        <w:t xml:space="preserve"> been specially </w:t>
      </w:r>
      <w:r w:rsidR="0084610A">
        <w:rPr>
          <w:rFonts w:cs="Times"/>
          <w:lang w:val="en-GB"/>
        </w:rPr>
        <w:t xml:space="preserve">trained </w:t>
      </w:r>
      <w:r w:rsidR="00686FB6" w:rsidRPr="00F87C1B">
        <w:rPr>
          <w:rFonts w:cs="Times"/>
          <w:lang w:val="en-GB"/>
        </w:rPr>
        <w:t>to protect migrants’ rights.</w:t>
      </w:r>
      <w:r w:rsidR="005D0081" w:rsidRPr="00F87C1B">
        <w:rPr>
          <w:rStyle w:val="FootnoteReference"/>
          <w:rFonts w:cs="Times"/>
          <w:lang w:val="en-GB"/>
        </w:rPr>
        <w:footnoteReference w:id="72"/>
      </w:r>
      <w:r w:rsidR="00686FB6" w:rsidRPr="00F87C1B">
        <w:rPr>
          <w:rFonts w:cs="Times"/>
          <w:lang w:val="en-GB"/>
        </w:rPr>
        <w:t xml:space="preserve"> However, if </w:t>
      </w:r>
      <w:r w:rsidR="0084610A">
        <w:rPr>
          <w:rFonts w:cs="Times"/>
          <w:lang w:val="en-GB"/>
        </w:rPr>
        <w:t xml:space="preserve">such events </w:t>
      </w:r>
      <w:r w:rsidR="00686FB6" w:rsidRPr="00F87C1B">
        <w:rPr>
          <w:rFonts w:cs="Times"/>
          <w:lang w:val="en-GB"/>
        </w:rPr>
        <w:t>tak</w:t>
      </w:r>
      <w:r w:rsidR="0084610A">
        <w:rPr>
          <w:rFonts w:cs="Times"/>
          <w:lang w:val="en-GB"/>
        </w:rPr>
        <w:t>e</w:t>
      </w:r>
      <w:r w:rsidR="00686FB6" w:rsidRPr="00F87C1B">
        <w:rPr>
          <w:rFonts w:cs="Times"/>
          <w:lang w:val="en-GB"/>
        </w:rPr>
        <w:t xml:space="preserve"> place, such behaviour should not be tolerated and should be stopped immediately. </w:t>
      </w:r>
    </w:p>
    <w:p w14:paraId="35653184" w14:textId="77777777" w:rsidR="00987691" w:rsidRPr="00F87C1B" w:rsidRDefault="00987691" w:rsidP="008016D4">
      <w:pPr>
        <w:jc w:val="both"/>
        <w:rPr>
          <w:rFonts w:cs="Times"/>
          <w:lang w:val="en-GB"/>
        </w:rPr>
      </w:pPr>
    </w:p>
    <w:p w14:paraId="06296475" w14:textId="77777777" w:rsidR="00CD3BF9" w:rsidRPr="00F87C1B" w:rsidRDefault="00CD3BF9" w:rsidP="00CD3BF9">
      <w:pPr>
        <w:jc w:val="both"/>
        <w:rPr>
          <w:rFonts w:cs="Times"/>
          <w:lang w:val="en-GB"/>
        </w:rPr>
      </w:pPr>
      <w:r w:rsidRPr="00F87C1B">
        <w:rPr>
          <w:rFonts w:cs="Times"/>
          <w:lang w:val="en-GB"/>
        </w:rPr>
        <w:t>The Croatian designation of Turkey as a safe third country is another worrying fact. In 2016, Croatia adopted a Decision on the list of safe countries of origin in the procedure for granting international protection.</w:t>
      </w:r>
      <w:r w:rsidRPr="00F87C1B">
        <w:rPr>
          <w:rStyle w:val="FootnoteReference"/>
          <w:rFonts w:cs="Times"/>
          <w:lang w:val="en-GB"/>
        </w:rPr>
        <w:footnoteReference w:id="73"/>
      </w:r>
      <w:r w:rsidRPr="00F87C1B">
        <w:rPr>
          <w:rFonts w:cs="Times"/>
          <w:lang w:val="en-GB"/>
        </w:rPr>
        <w:t xml:space="preserve"> The list includes 10 countries, among them Turkey.</w:t>
      </w:r>
      <w:r w:rsidRPr="00F87C1B">
        <w:rPr>
          <w:rStyle w:val="FootnoteReference"/>
          <w:rFonts w:cs="Times"/>
          <w:lang w:val="en-GB"/>
        </w:rPr>
        <w:footnoteReference w:id="74"/>
      </w:r>
      <w:r w:rsidRPr="00F87C1B">
        <w:rPr>
          <w:rFonts w:cs="Times"/>
          <w:lang w:val="en-GB"/>
        </w:rPr>
        <w:t xml:space="preserve"> Despite the fact that Turkey is officially on the </w:t>
      </w:r>
      <w:r w:rsidRPr="00F87C1B">
        <w:rPr>
          <w:rFonts w:cs="Times"/>
          <w:lang w:val="en-GB"/>
        </w:rPr>
        <w:lastRenderedPageBreak/>
        <w:t>list, according to the available reports, the designation of Turkey as a safe country has never been used in practice.</w:t>
      </w:r>
      <w:r w:rsidRPr="00F87C1B">
        <w:rPr>
          <w:rStyle w:val="FootnoteReference"/>
          <w:rFonts w:cs="Times"/>
          <w:lang w:val="en-GB"/>
        </w:rPr>
        <w:footnoteReference w:id="75"/>
      </w:r>
      <w:r w:rsidRPr="00F87C1B">
        <w:rPr>
          <w:rFonts w:cs="Times"/>
          <w:lang w:val="en-GB"/>
        </w:rPr>
        <w:t xml:space="preserve"> </w:t>
      </w:r>
    </w:p>
    <w:p w14:paraId="7CFF8543" w14:textId="77777777" w:rsidR="00CD3BF9" w:rsidRPr="00F87C1B" w:rsidRDefault="00CD3BF9" w:rsidP="00CD3BF9">
      <w:pPr>
        <w:jc w:val="both"/>
        <w:rPr>
          <w:rFonts w:cs="Times"/>
          <w:lang w:val="en-GB"/>
        </w:rPr>
      </w:pPr>
    </w:p>
    <w:p w14:paraId="71A85459" w14:textId="77777777" w:rsidR="000E3987" w:rsidRPr="00F87C1B" w:rsidRDefault="00CD3BF9" w:rsidP="002A442E">
      <w:pPr>
        <w:jc w:val="both"/>
        <w:rPr>
          <w:rFonts w:cs="Times"/>
          <w:lang w:val="en-GB"/>
        </w:rPr>
      </w:pPr>
      <w:r w:rsidRPr="00F87C1B">
        <w:rPr>
          <w:rFonts w:cs="Times"/>
          <w:lang w:val="en-GB"/>
        </w:rPr>
        <w:t xml:space="preserve">To conclude, despite the fact that Croatia </w:t>
      </w:r>
      <w:r w:rsidR="00364D8C" w:rsidRPr="00F87C1B">
        <w:rPr>
          <w:rFonts w:cs="Times"/>
          <w:lang w:val="en-GB"/>
        </w:rPr>
        <w:t xml:space="preserve">did its best and to a large degree succeeded </w:t>
      </w:r>
      <w:r w:rsidR="0084610A">
        <w:rPr>
          <w:rFonts w:cs="Times"/>
          <w:lang w:val="en-GB"/>
        </w:rPr>
        <w:t>in</w:t>
      </w:r>
      <w:r w:rsidR="00364D8C" w:rsidRPr="00F87C1B">
        <w:rPr>
          <w:rFonts w:cs="Times"/>
          <w:lang w:val="en-GB"/>
        </w:rPr>
        <w:t xml:space="preserve"> adapt</w:t>
      </w:r>
      <w:r w:rsidR="0084610A">
        <w:rPr>
          <w:rFonts w:cs="Times"/>
          <w:lang w:val="en-GB"/>
        </w:rPr>
        <w:t>ing</w:t>
      </w:r>
      <w:r w:rsidR="00364D8C" w:rsidRPr="00F87C1B">
        <w:rPr>
          <w:rFonts w:cs="Times"/>
          <w:lang w:val="en-GB"/>
        </w:rPr>
        <w:t xml:space="preserve"> to the increased number of </w:t>
      </w:r>
      <w:r w:rsidR="00E0249C" w:rsidRPr="00F87C1B">
        <w:rPr>
          <w:rFonts w:cs="Times"/>
          <w:lang w:val="en-GB"/>
        </w:rPr>
        <w:t xml:space="preserve">migrants and </w:t>
      </w:r>
      <w:r w:rsidR="00364D8C" w:rsidRPr="00F87C1B">
        <w:rPr>
          <w:rFonts w:cs="Times"/>
          <w:lang w:val="en-GB"/>
        </w:rPr>
        <w:t xml:space="preserve">asylum seekers, especially during the </w:t>
      </w:r>
      <w:r w:rsidR="0084610A">
        <w:rPr>
          <w:rFonts w:cs="Times"/>
          <w:lang w:val="en-GB"/>
        </w:rPr>
        <w:t xml:space="preserve">operation </w:t>
      </w:r>
      <w:r w:rsidR="00364D8C" w:rsidRPr="00F87C1B">
        <w:rPr>
          <w:rFonts w:cs="Times"/>
          <w:lang w:val="en-GB"/>
        </w:rPr>
        <w:t xml:space="preserve">of the Western Balkans route, two crucial tendencies are noticeable. First, </w:t>
      </w:r>
      <w:r w:rsidRPr="00F87C1B">
        <w:rPr>
          <w:rFonts w:cs="Times"/>
          <w:lang w:val="en-GB"/>
        </w:rPr>
        <w:t>t</w:t>
      </w:r>
      <w:r w:rsidR="008272D1" w:rsidRPr="00F87C1B">
        <w:rPr>
          <w:rFonts w:cs="Times"/>
          <w:lang w:val="en-GB"/>
        </w:rPr>
        <w:t>he upward trend in the number of asylum applications and Dublin transfers is likely to continue in the future. For this reason, one can expect that the current challenges faced in the Croatian asylum system will become even more visible and problematic, unless addressed properly.</w:t>
      </w:r>
      <w:r w:rsidR="00364D8C" w:rsidRPr="00F87C1B">
        <w:rPr>
          <w:rFonts w:cs="Times"/>
          <w:lang w:val="en-GB"/>
        </w:rPr>
        <w:t xml:space="preserve"> Second, the general political and social attitude towards asylum seekers and migra</w:t>
      </w:r>
      <w:r w:rsidR="004978FE" w:rsidRPr="00F87C1B">
        <w:rPr>
          <w:rFonts w:cs="Times"/>
          <w:lang w:val="en-GB"/>
        </w:rPr>
        <w:t xml:space="preserve">nts remains reserved. This is also visible from the low number of relocations to Croatia </w:t>
      </w:r>
      <w:r w:rsidR="000418E6" w:rsidRPr="00F87C1B">
        <w:rPr>
          <w:rFonts w:cs="Times"/>
          <w:lang w:val="en-GB"/>
        </w:rPr>
        <w:t>based on Council Decision 2015/1601 of 22 September 2015.</w:t>
      </w:r>
      <w:r w:rsidR="000418E6" w:rsidRPr="00F87C1B">
        <w:rPr>
          <w:rStyle w:val="FootnoteReference"/>
          <w:rFonts w:cs="Times"/>
          <w:lang w:val="en-GB"/>
        </w:rPr>
        <w:footnoteReference w:id="76"/>
      </w:r>
      <w:r w:rsidR="000418E6" w:rsidRPr="00F87C1B">
        <w:rPr>
          <w:rFonts w:cs="Times"/>
          <w:lang w:val="en-GB"/>
        </w:rPr>
        <w:t xml:space="preserve"> </w:t>
      </w:r>
      <w:r w:rsidR="007076F3" w:rsidRPr="00F87C1B">
        <w:rPr>
          <w:rFonts w:cs="Times"/>
          <w:lang w:val="en-GB"/>
        </w:rPr>
        <w:t xml:space="preserve">Out of 968 commitments, by 3 November 2017 Croatia relocated only 18 persons from Italy and 60 persons from Greece, while formally pledging 316 places. </w:t>
      </w:r>
    </w:p>
    <w:p w14:paraId="61B8C1A8" w14:textId="77777777" w:rsidR="00CB6E88" w:rsidRPr="00F87C1B" w:rsidRDefault="00CB6E88" w:rsidP="002A442E">
      <w:pPr>
        <w:jc w:val="both"/>
        <w:rPr>
          <w:rFonts w:cs="Times"/>
          <w:lang w:val="en-GB"/>
        </w:rPr>
      </w:pPr>
    </w:p>
    <w:p w14:paraId="07EA3675" w14:textId="77777777" w:rsidR="00096954" w:rsidRPr="00F87C1B" w:rsidRDefault="00096954" w:rsidP="009C565A">
      <w:pPr>
        <w:jc w:val="both"/>
        <w:rPr>
          <w:rFonts w:cs="Times"/>
          <w:lang w:val="en-GB"/>
        </w:rPr>
      </w:pPr>
    </w:p>
    <w:p w14:paraId="3F37D39C" w14:textId="77777777" w:rsidR="004978FE" w:rsidRPr="00F87C1B" w:rsidRDefault="00A3433D" w:rsidP="001F49DD">
      <w:pPr>
        <w:ind w:left="284" w:hanging="284"/>
        <w:outlineLvl w:val="0"/>
        <w:rPr>
          <w:b/>
          <w:lang w:val="en-GB"/>
        </w:rPr>
      </w:pPr>
      <w:r w:rsidRPr="00F87C1B">
        <w:rPr>
          <w:b/>
          <w:lang w:val="en-GB"/>
        </w:rPr>
        <w:t>6</w:t>
      </w:r>
      <w:r w:rsidR="004978FE" w:rsidRPr="00F87C1B">
        <w:rPr>
          <w:b/>
          <w:lang w:val="en-GB"/>
        </w:rPr>
        <w:t>. Concluding Remarks</w:t>
      </w:r>
    </w:p>
    <w:p w14:paraId="5BBDEED9" w14:textId="77777777" w:rsidR="00C37900" w:rsidRPr="00F87C1B" w:rsidRDefault="00C37900" w:rsidP="002A442E">
      <w:pPr>
        <w:jc w:val="both"/>
        <w:rPr>
          <w:rFonts w:cs="Times"/>
          <w:lang w:val="en-GB"/>
        </w:rPr>
      </w:pPr>
    </w:p>
    <w:p w14:paraId="2080D93E" w14:textId="218666CD" w:rsidR="004E62C2" w:rsidRPr="00F87C1B" w:rsidRDefault="00A3433D" w:rsidP="007010EE">
      <w:pPr>
        <w:jc w:val="both"/>
        <w:rPr>
          <w:lang w:val="en-GB"/>
        </w:rPr>
      </w:pPr>
      <w:r w:rsidRPr="00F87C1B">
        <w:rPr>
          <w:lang w:val="en-GB"/>
        </w:rPr>
        <w:t xml:space="preserve">This </w:t>
      </w:r>
      <w:r w:rsidR="00C822D1">
        <w:rPr>
          <w:lang w:val="en-GB"/>
        </w:rPr>
        <w:t>chapter</w:t>
      </w:r>
      <w:r w:rsidR="00C822D1" w:rsidRPr="00F87C1B">
        <w:rPr>
          <w:lang w:val="en-GB"/>
        </w:rPr>
        <w:t xml:space="preserve"> </w:t>
      </w:r>
      <w:r w:rsidR="00255886">
        <w:rPr>
          <w:lang w:val="en-GB"/>
        </w:rPr>
        <w:t xml:space="preserve">has attempted </w:t>
      </w:r>
      <w:r w:rsidRPr="00F87C1B">
        <w:rPr>
          <w:lang w:val="en-GB"/>
        </w:rPr>
        <w:t xml:space="preserve">to examine the most important developments in asylum policy in Croatia and place these developments in a wider European context. </w:t>
      </w:r>
      <w:r w:rsidR="00255886">
        <w:rPr>
          <w:lang w:val="en-GB"/>
        </w:rPr>
        <w:t xml:space="preserve">It has </w:t>
      </w:r>
      <w:r w:rsidR="00C11737" w:rsidRPr="00F87C1B">
        <w:rPr>
          <w:lang w:val="en-GB"/>
        </w:rPr>
        <w:t xml:space="preserve">demonstrated the interconnection </w:t>
      </w:r>
      <w:r w:rsidR="00255886">
        <w:rPr>
          <w:lang w:val="en-GB"/>
        </w:rPr>
        <w:t xml:space="preserve">among </w:t>
      </w:r>
      <w:r w:rsidR="00C11737" w:rsidRPr="00F87C1B">
        <w:rPr>
          <w:lang w:val="en-GB"/>
        </w:rPr>
        <w:t>the events in Croatia, on the Western Balkans route</w:t>
      </w:r>
      <w:r w:rsidR="00255886">
        <w:rPr>
          <w:lang w:val="en-GB"/>
        </w:rPr>
        <w:t>,</w:t>
      </w:r>
      <w:r w:rsidR="00C11737" w:rsidRPr="00F87C1B">
        <w:rPr>
          <w:lang w:val="en-GB"/>
        </w:rPr>
        <w:t xml:space="preserve"> and in the EU in general. </w:t>
      </w:r>
      <w:r w:rsidR="002C2E4D" w:rsidRPr="00F87C1B">
        <w:rPr>
          <w:lang w:val="en-GB"/>
        </w:rPr>
        <w:t>The</w:t>
      </w:r>
      <w:r w:rsidR="00255886">
        <w:rPr>
          <w:lang w:val="en-GB"/>
        </w:rPr>
        <w:t xml:space="preserve"> paper has</w:t>
      </w:r>
      <w:r w:rsidR="002C2E4D" w:rsidRPr="00F87C1B">
        <w:rPr>
          <w:lang w:val="en-GB"/>
        </w:rPr>
        <w:t xml:space="preserve"> show</w:t>
      </w:r>
      <w:r w:rsidR="00255886">
        <w:rPr>
          <w:lang w:val="en-GB"/>
        </w:rPr>
        <w:t>n</w:t>
      </w:r>
      <w:r w:rsidR="002C2E4D" w:rsidRPr="00F87C1B">
        <w:rPr>
          <w:lang w:val="en-GB"/>
        </w:rPr>
        <w:t xml:space="preserve"> that refugee-related developments in Croatia </w:t>
      </w:r>
      <w:r w:rsidR="00255886">
        <w:rPr>
          <w:lang w:val="en-GB"/>
        </w:rPr>
        <w:t xml:space="preserve">can </w:t>
      </w:r>
      <w:r w:rsidR="000C1FA1" w:rsidRPr="00F87C1B">
        <w:rPr>
          <w:lang w:val="en-GB"/>
        </w:rPr>
        <w:t>only</w:t>
      </w:r>
      <w:r w:rsidR="002C2E4D" w:rsidRPr="00F87C1B">
        <w:rPr>
          <w:lang w:val="en-GB"/>
        </w:rPr>
        <w:t xml:space="preserve"> be understood in the context of EU asylum rules, the events on the Western Balkans route</w:t>
      </w:r>
      <w:r w:rsidR="00255886">
        <w:rPr>
          <w:lang w:val="en-GB"/>
        </w:rPr>
        <w:t>,</w:t>
      </w:r>
      <w:r w:rsidR="002C2E4D" w:rsidRPr="00F87C1B">
        <w:rPr>
          <w:lang w:val="en-GB"/>
        </w:rPr>
        <w:t xml:space="preserve"> and the tensions between the human-rights-related ambitions, on the one hand, and a combination of security concerns and xenophobic fears, on the other hand. Despite the fact that Croatia has been both geographically and politically on the periphery of the EU refugee-related events, </w:t>
      </w:r>
      <w:r w:rsidR="00E0249C" w:rsidRPr="00F87C1B">
        <w:rPr>
          <w:lang w:val="en-GB"/>
        </w:rPr>
        <w:t>it played an important role during the 2015</w:t>
      </w:r>
      <w:proofErr w:type="gramStart"/>
      <w:r w:rsidR="00E0249C" w:rsidRPr="00F87C1B">
        <w:rPr>
          <w:lang w:val="en-GB"/>
        </w:rPr>
        <w:t>/2016 refugee</w:t>
      </w:r>
      <w:proofErr w:type="gramEnd"/>
      <w:r w:rsidR="00E0249C" w:rsidRPr="00F87C1B">
        <w:rPr>
          <w:lang w:val="en-GB"/>
        </w:rPr>
        <w:t xml:space="preserve"> influx. </w:t>
      </w:r>
      <w:r w:rsidR="000C1FA1" w:rsidRPr="00F87C1B">
        <w:rPr>
          <w:lang w:val="en-GB"/>
        </w:rPr>
        <w:t xml:space="preserve">Most importantly, the behaviour of Croatia and other countries on the Western Balkans route has </w:t>
      </w:r>
      <w:r w:rsidR="00255886">
        <w:rPr>
          <w:lang w:val="en-GB"/>
        </w:rPr>
        <w:t xml:space="preserve">had </w:t>
      </w:r>
      <w:r w:rsidR="000C1FA1" w:rsidRPr="00F87C1B">
        <w:rPr>
          <w:lang w:val="en-GB"/>
        </w:rPr>
        <w:t xml:space="preserve">enormous implications for </w:t>
      </w:r>
      <w:r w:rsidR="00255886">
        <w:rPr>
          <w:lang w:val="en-GB"/>
        </w:rPr>
        <w:t xml:space="preserve">the </w:t>
      </w:r>
      <w:r w:rsidR="000C1FA1" w:rsidRPr="00F87C1B">
        <w:rPr>
          <w:lang w:val="en-GB"/>
        </w:rPr>
        <w:t xml:space="preserve">further development of EU asylum law, as illustrated by the discussion of the judgments in </w:t>
      </w:r>
      <w:r w:rsidR="000C1FA1" w:rsidRPr="00F87C1B">
        <w:rPr>
          <w:i/>
          <w:lang w:val="en-GB"/>
        </w:rPr>
        <w:t xml:space="preserve">A.S. </w:t>
      </w:r>
      <w:r w:rsidR="000C1FA1" w:rsidRPr="00937E5F">
        <w:rPr>
          <w:lang w:val="en-GB"/>
        </w:rPr>
        <w:t>and</w:t>
      </w:r>
      <w:r w:rsidR="000C1FA1" w:rsidRPr="00F87C1B">
        <w:rPr>
          <w:i/>
          <w:lang w:val="en-GB"/>
        </w:rPr>
        <w:t xml:space="preserve"> </w:t>
      </w:r>
      <w:proofErr w:type="spellStart"/>
      <w:r w:rsidR="000C1FA1" w:rsidRPr="00F87C1B">
        <w:rPr>
          <w:i/>
          <w:lang w:val="en-GB"/>
        </w:rPr>
        <w:t>Jafari</w:t>
      </w:r>
      <w:proofErr w:type="spellEnd"/>
      <w:r w:rsidR="000C1FA1" w:rsidRPr="00F87C1B">
        <w:rPr>
          <w:lang w:val="en-GB"/>
        </w:rPr>
        <w:t xml:space="preserve"> and in </w:t>
      </w:r>
      <w:proofErr w:type="spellStart"/>
      <w:r w:rsidR="000C1FA1" w:rsidRPr="00F87C1B">
        <w:rPr>
          <w:i/>
          <w:lang w:val="en-GB"/>
        </w:rPr>
        <w:t>Mengesteab</w:t>
      </w:r>
      <w:proofErr w:type="spellEnd"/>
      <w:r w:rsidR="000C1FA1" w:rsidRPr="00F87C1B">
        <w:rPr>
          <w:lang w:val="en-GB"/>
        </w:rPr>
        <w:t xml:space="preserve">. </w:t>
      </w:r>
    </w:p>
    <w:sectPr w:rsidR="004E62C2" w:rsidRPr="00F87C1B" w:rsidSect="000554F9">
      <w:footerReference w:type="even" r:id="rId9"/>
      <w:footerReference w:type="default" r:id="rId10"/>
      <w:footnotePr>
        <w:numRestart w:val="eachSect"/>
      </w:footnotePr>
      <w:type w:val="continuous"/>
      <w:pgSz w:w="11900" w:h="16840"/>
      <w:pgMar w:top="1440" w:right="1800" w:bottom="1440" w:left="1800" w:header="708"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02807" w14:textId="77777777" w:rsidR="00CA7FDC" w:rsidRDefault="00CA7FDC" w:rsidP="00C502B0">
      <w:r>
        <w:separator/>
      </w:r>
    </w:p>
  </w:endnote>
  <w:endnote w:type="continuationSeparator" w:id="0">
    <w:p w14:paraId="381C5747" w14:textId="77777777" w:rsidR="00CA7FDC" w:rsidRDefault="00CA7FDC" w:rsidP="00C5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Italic">
    <w:panose1 w:val="020405030504060A0204"/>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FEC3" w14:textId="77777777" w:rsidR="003650E9" w:rsidRDefault="003650E9" w:rsidP="005D3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B3490" w14:textId="77777777" w:rsidR="003650E9" w:rsidRDefault="003650E9" w:rsidP="004E62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4431" w14:textId="5BE251A3" w:rsidR="003650E9" w:rsidRDefault="003650E9" w:rsidP="005D3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8DB">
      <w:rPr>
        <w:rStyle w:val="PageNumber"/>
        <w:noProof/>
      </w:rPr>
      <w:t>1</w:t>
    </w:r>
    <w:r>
      <w:rPr>
        <w:rStyle w:val="PageNumber"/>
      </w:rPr>
      <w:fldChar w:fldCharType="end"/>
    </w:r>
  </w:p>
  <w:p w14:paraId="6E18E543" w14:textId="77777777" w:rsidR="003650E9" w:rsidRDefault="003650E9" w:rsidP="004E62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7B3D" w14:textId="77777777" w:rsidR="00CA7FDC" w:rsidRDefault="00CA7FDC" w:rsidP="00C502B0">
      <w:r>
        <w:separator/>
      </w:r>
    </w:p>
  </w:footnote>
  <w:footnote w:type="continuationSeparator" w:id="0">
    <w:p w14:paraId="4BB1FA90" w14:textId="77777777" w:rsidR="00CA7FDC" w:rsidRDefault="00CA7FDC" w:rsidP="00C502B0">
      <w:r>
        <w:continuationSeparator/>
      </w:r>
    </w:p>
  </w:footnote>
  <w:footnote w:id="1">
    <w:p w14:paraId="3AAEFAA3" w14:textId="1CC762E5" w:rsidR="003650E9" w:rsidRPr="00D82148" w:rsidRDefault="003650E9">
      <w:pPr>
        <w:pStyle w:val="FootnoteText"/>
        <w:rPr>
          <w:lang w:val="en-GB"/>
        </w:rPr>
      </w:pPr>
      <w:r w:rsidRPr="00D82148">
        <w:rPr>
          <w:rStyle w:val="FootnoteReference"/>
          <w:lang w:val="en-GB"/>
        </w:rPr>
        <w:footnoteRef/>
      </w:r>
      <w:r w:rsidRPr="00D82148">
        <w:rPr>
          <w:lang w:val="en-GB"/>
        </w:rPr>
        <w:t xml:space="preserve"> Case C-490</w:t>
      </w:r>
      <w:r w:rsidR="008D4FAB">
        <w:rPr>
          <w:lang w:val="en-GB"/>
        </w:rPr>
        <w:t>/</w:t>
      </w:r>
      <w:r w:rsidRPr="00D82148">
        <w:rPr>
          <w:lang w:val="en-GB"/>
        </w:rPr>
        <w:t xml:space="preserve">16 </w:t>
      </w:r>
      <w:r w:rsidRPr="00D82148">
        <w:rPr>
          <w:i/>
          <w:lang w:val="en-GB"/>
        </w:rPr>
        <w:t>A.S. v Slovenia</w:t>
      </w:r>
      <w:r w:rsidRPr="00D82148">
        <w:rPr>
          <w:lang w:val="en-GB"/>
        </w:rPr>
        <w:t>, 26 July 2017, ECLI</w:t>
      </w:r>
      <w:proofErr w:type="gramStart"/>
      <w:r w:rsidRPr="00D82148">
        <w:rPr>
          <w:lang w:val="en-GB"/>
        </w:rPr>
        <w:t>:EU:C:2017:585</w:t>
      </w:r>
      <w:proofErr w:type="gramEnd"/>
      <w:r w:rsidRPr="00D82148">
        <w:rPr>
          <w:lang w:val="en-GB"/>
        </w:rPr>
        <w:t xml:space="preserve">; Case C-646/16 </w:t>
      </w:r>
      <w:proofErr w:type="spellStart"/>
      <w:r w:rsidRPr="00D82148">
        <w:rPr>
          <w:i/>
          <w:lang w:val="en-GB"/>
        </w:rPr>
        <w:t>Jafari</w:t>
      </w:r>
      <w:proofErr w:type="spellEnd"/>
      <w:r w:rsidRPr="00D82148">
        <w:rPr>
          <w:lang w:val="en-GB"/>
        </w:rPr>
        <w:t xml:space="preserve">, 26 July 2017, ECLI:EU:C:2017:586. </w:t>
      </w:r>
    </w:p>
  </w:footnote>
  <w:footnote w:id="2">
    <w:p w14:paraId="65D1FF80" w14:textId="77777777" w:rsidR="003650E9" w:rsidRPr="00D82148" w:rsidRDefault="003650E9" w:rsidP="00493C0E">
      <w:pPr>
        <w:pStyle w:val="FootnoteText"/>
        <w:rPr>
          <w:lang w:val="en-GB"/>
        </w:rPr>
      </w:pPr>
      <w:r w:rsidRPr="00D82148">
        <w:rPr>
          <w:rStyle w:val="FootnoteReference"/>
          <w:lang w:val="en-GB"/>
        </w:rPr>
        <w:footnoteRef/>
      </w:r>
      <w:r w:rsidRPr="00D82148">
        <w:rPr>
          <w:lang w:val="en-GB"/>
        </w:rPr>
        <w:t xml:space="preserve"> Case 670/16 </w:t>
      </w:r>
      <w:proofErr w:type="spellStart"/>
      <w:r w:rsidRPr="00D82148">
        <w:rPr>
          <w:i/>
          <w:lang w:val="en-GB"/>
        </w:rPr>
        <w:t>Mengesteab</w:t>
      </w:r>
      <w:proofErr w:type="spellEnd"/>
      <w:r w:rsidRPr="00D82148">
        <w:rPr>
          <w:lang w:val="en-GB"/>
        </w:rPr>
        <w:t>, 26 July 2017, ECLI</w:t>
      </w:r>
      <w:proofErr w:type="gramStart"/>
      <w:r w:rsidRPr="00D82148">
        <w:rPr>
          <w:lang w:val="en-GB"/>
        </w:rPr>
        <w:t>:EU:C:2017:587</w:t>
      </w:r>
      <w:proofErr w:type="gramEnd"/>
      <w:r w:rsidRPr="00D82148">
        <w:rPr>
          <w:lang w:val="en-GB"/>
        </w:rPr>
        <w:t xml:space="preserve">. </w:t>
      </w:r>
    </w:p>
  </w:footnote>
  <w:footnote w:id="3">
    <w:p w14:paraId="2C72EFC3" w14:textId="516DF22E" w:rsidR="007A486E" w:rsidRPr="007A486E" w:rsidRDefault="007A486E">
      <w:pPr>
        <w:pStyle w:val="FootnoteText"/>
      </w:pPr>
      <w:r>
        <w:rPr>
          <w:rStyle w:val="FootnoteReference"/>
        </w:rPr>
        <w:footnoteRef/>
      </w:r>
      <w:r>
        <w:t xml:space="preserve"> For the discussion on human rights and legitimacy in EU asylum and migration law, see: I. Goldner Lang, </w:t>
      </w:r>
      <w:r w:rsidRPr="003632AC">
        <w:t>Human Rights and Legitimacy in the Implementation of EU Asylum and Migration Law</w:t>
      </w:r>
      <w:r>
        <w:t>, in S.</w:t>
      </w:r>
      <w:r w:rsidRPr="003632AC">
        <w:t xml:space="preserve"> </w:t>
      </w:r>
      <w:proofErr w:type="spellStart"/>
      <w:r>
        <w:t>Vöneky</w:t>
      </w:r>
      <w:proofErr w:type="spellEnd"/>
      <w:r>
        <w:t xml:space="preserve"> and G. L. </w:t>
      </w:r>
      <w:proofErr w:type="spellStart"/>
      <w:r>
        <w:t>Neuman</w:t>
      </w:r>
      <w:proofErr w:type="spellEnd"/>
      <w:r>
        <w:t xml:space="preserve"> (eds.),</w:t>
      </w:r>
      <w:r w:rsidRPr="003632AC">
        <w:t xml:space="preserve"> </w:t>
      </w:r>
      <w:r w:rsidRPr="003632AC">
        <w:rPr>
          <w:i/>
        </w:rPr>
        <w:t>Human Rights, Democracy, and Legitimacy in a World of Disorder</w:t>
      </w:r>
      <w:r>
        <w:t>, Cambridge University Press, forthcoming in 2018.</w:t>
      </w:r>
    </w:p>
  </w:footnote>
  <w:footnote w:id="4">
    <w:p w14:paraId="7ED1B7A3" w14:textId="28183201" w:rsidR="007A486E" w:rsidRPr="007A486E" w:rsidRDefault="007A486E" w:rsidP="007A486E">
      <w:pPr>
        <w:pStyle w:val="FootnoteText"/>
        <w:rPr>
          <w:lang w:val="hr-HR"/>
        </w:rPr>
      </w:pPr>
      <w:r>
        <w:rPr>
          <w:rStyle w:val="FootnoteReference"/>
        </w:rPr>
        <w:footnoteRef/>
      </w:r>
      <w:r>
        <w:t xml:space="preserve"> </w:t>
      </w:r>
      <w:r>
        <w:rPr>
          <w:lang w:val="hr-HR"/>
        </w:rPr>
        <w:t xml:space="preserve">For an interplay of national, EU-level and international law in relation to migration and asylum in Europe, see: I. Goldner Lang, </w:t>
      </w:r>
      <w:r w:rsidR="00E14E2C">
        <w:rPr>
          <w:lang w:val="hr-HR"/>
        </w:rPr>
        <w:t>ž</w:t>
      </w:r>
      <w:r w:rsidRPr="007A486E">
        <w:rPr>
          <w:lang w:val="hr-HR"/>
        </w:rPr>
        <w:t>The European Union and Migration: An Interplay of National,</w:t>
      </w:r>
      <w:r>
        <w:rPr>
          <w:lang w:val="hr-HR"/>
        </w:rPr>
        <w:t xml:space="preserve"> Regional and International Law</w:t>
      </w:r>
      <w:r w:rsidRPr="007A486E">
        <w:rPr>
          <w:lang w:val="hr-HR"/>
        </w:rPr>
        <w:t xml:space="preserve">, American Journal of International Law (AJIL) Unbound, forthcoming in 2018. </w:t>
      </w:r>
    </w:p>
    <w:p w14:paraId="0B09A84E" w14:textId="77777777" w:rsidR="007A486E" w:rsidRPr="007A486E" w:rsidRDefault="007A486E">
      <w:pPr>
        <w:pStyle w:val="FootnoteText"/>
        <w:rPr>
          <w:lang w:val="hr-HR"/>
        </w:rPr>
      </w:pPr>
    </w:p>
  </w:footnote>
  <w:footnote w:id="5">
    <w:p w14:paraId="4443CBDC"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S. </w:t>
      </w:r>
      <w:proofErr w:type="spellStart"/>
      <w:r w:rsidRPr="00D82148">
        <w:rPr>
          <w:lang w:val="en-GB"/>
        </w:rPr>
        <w:t>Šelo</w:t>
      </w:r>
      <w:proofErr w:type="spellEnd"/>
      <w:r w:rsidRPr="00D82148">
        <w:rPr>
          <w:lang w:val="en-GB"/>
        </w:rPr>
        <w:t xml:space="preserve"> </w:t>
      </w:r>
      <w:proofErr w:type="spellStart"/>
      <w:r w:rsidRPr="00D82148">
        <w:rPr>
          <w:lang w:val="en-GB"/>
        </w:rPr>
        <w:t>Šabić</w:t>
      </w:r>
      <w:proofErr w:type="spellEnd"/>
      <w:r w:rsidRPr="00D82148">
        <w:rPr>
          <w:lang w:val="en-GB"/>
        </w:rPr>
        <w:t xml:space="preserve"> and S. </w:t>
      </w:r>
      <w:proofErr w:type="spellStart"/>
      <w:r w:rsidRPr="00D82148">
        <w:rPr>
          <w:lang w:val="en-GB"/>
        </w:rPr>
        <w:t>Borić</w:t>
      </w:r>
      <w:proofErr w:type="spellEnd"/>
      <w:r w:rsidRPr="00D82148">
        <w:rPr>
          <w:lang w:val="en-GB"/>
        </w:rPr>
        <w:t xml:space="preserve">, At the Gate of Europe: A Report on Refugees on the Western Balkan Route, Friedrich Ebert </w:t>
      </w:r>
      <w:proofErr w:type="spellStart"/>
      <w:r w:rsidRPr="00D82148">
        <w:rPr>
          <w:lang w:val="en-GB"/>
        </w:rPr>
        <w:t>Stiftung</w:t>
      </w:r>
      <w:proofErr w:type="spellEnd"/>
      <w:r w:rsidRPr="00D82148">
        <w:rPr>
          <w:lang w:val="en-GB"/>
        </w:rPr>
        <w:t xml:space="preserve">, SOE Dialog </w:t>
      </w:r>
      <w:proofErr w:type="spellStart"/>
      <w:r w:rsidRPr="00D82148">
        <w:rPr>
          <w:lang w:val="en-GB"/>
        </w:rPr>
        <w:t>Südosteropa</w:t>
      </w:r>
      <w:proofErr w:type="spellEnd"/>
      <w:r w:rsidRPr="00D82148">
        <w:rPr>
          <w:lang w:val="en-GB"/>
        </w:rPr>
        <w:t xml:space="preserve">, 2017, 1-21, p. 11 (available at </w:t>
      </w:r>
      <w:hyperlink r:id="rId1" w:history="1">
        <w:r w:rsidRPr="00D82148">
          <w:rPr>
            <w:rStyle w:val="Hyperlink"/>
            <w:lang w:val="en-GB"/>
          </w:rPr>
          <w:t>http://library.fes.de/pdf-files/bueros/kroatien/13059.pdf</w:t>
        </w:r>
      </w:hyperlink>
      <w:r w:rsidRPr="00D82148">
        <w:rPr>
          <w:lang w:val="en-GB"/>
        </w:rPr>
        <w:t xml:space="preserve"> - last accessed on 16 October 2017).</w:t>
      </w:r>
    </w:p>
  </w:footnote>
  <w:footnote w:id="6">
    <w:p w14:paraId="60BDD3BB" w14:textId="77DCCDD3" w:rsidR="003650E9" w:rsidRPr="00D82148" w:rsidRDefault="003650E9">
      <w:pPr>
        <w:pStyle w:val="FootnoteText"/>
        <w:rPr>
          <w:lang w:val="en-GB"/>
        </w:rPr>
      </w:pPr>
      <w:r w:rsidRPr="00D82148">
        <w:rPr>
          <w:rStyle w:val="FootnoteReference"/>
          <w:lang w:val="en-GB"/>
        </w:rPr>
        <w:footnoteRef/>
      </w:r>
      <w:r w:rsidRPr="00D82148">
        <w:rPr>
          <w:lang w:val="en-GB"/>
        </w:rPr>
        <w:t xml:space="preserve"> Balkan states attempt to limit numbers of refugees claiming asylum, The Guardian, 20 January 2016 (available at: </w:t>
      </w:r>
      <w:hyperlink r:id="rId2" w:history="1">
        <w:r w:rsidRPr="00D82148">
          <w:rPr>
            <w:rStyle w:val="Hyperlink"/>
            <w:lang w:val="en-GB"/>
          </w:rPr>
          <w:t>https://www.theguardian.com/world/2016/jan/20/balkan-states-attempt-to-limit-numbers-of-refugees-claiming-asylum</w:t>
        </w:r>
      </w:hyperlink>
      <w:r w:rsidRPr="00D82148">
        <w:rPr>
          <w:lang w:val="en-GB"/>
        </w:rPr>
        <w:t xml:space="preserve"> - last accessed on 16 October 2017). </w:t>
      </w:r>
    </w:p>
  </w:footnote>
  <w:footnote w:id="7">
    <w:p w14:paraId="6D70845F"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Jennifer Rankin, Austria dismisses criticism of its plan to limit daily refugee numbers, 18 February 2016 (available at: </w:t>
      </w:r>
      <w:hyperlink r:id="rId3" w:history="1">
        <w:r w:rsidRPr="00D82148">
          <w:rPr>
            <w:rStyle w:val="Hyperlink"/>
            <w:lang w:val="en-GB"/>
          </w:rPr>
          <w:t>https://www.theguardian.com/world/2016/feb/18/austria-dismisses-criticism-of-its-plan-to-limit-daily-refugee-numbers</w:t>
        </w:r>
      </w:hyperlink>
      <w:r w:rsidRPr="00D82148">
        <w:rPr>
          <w:lang w:val="en-GB"/>
        </w:rPr>
        <w:t xml:space="preserve"> - last accessed on 16 October 2016). </w:t>
      </w:r>
    </w:p>
  </w:footnote>
  <w:footnote w:id="8">
    <w:p w14:paraId="10932FBE" w14:textId="77777777" w:rsidR="003650E9" w:rsidRPr="00D82148" w:rsidRDefault="003650E9" w:rsidP="00842F96">
      <w:pPr>
        <w:pStyle w:val="FootnoteText"/>
        <w:rPr>
          <w:lang w:val="en-GB"/>
        </w:rPr>
      </w:pPr>
      <w:r w:rsidRPr="00D82148">
        <w:rPr>
          <w:rStyle w:val="FootnoteReference"/>
          <w:lang w:val="en-GB"/>
        </w:rPr>
        <w:footnoteRef/>
      </w:r>
      <w:r w:rsidRPr="00D82148">
        <w:rPr>
          <w:lang w:val="en-GB"/>
        </w:rPr>
        <w:t xml:space="preserve"> Jennifer Rankin, Croatia and Slovenia impose limits on refugee numbers, 26 February 2016 (available at: </w:t>
      </w:r>
      <w:hyperlink r:id="rId4" w:history="1">
        <w:r w:rsidRPr="00D82148">
          <w:rPr>
            <w:rStyle w:val="Hyperlink"/>
            <w:lang w:val="en-GB"/>
          </w:rPr>
          <w:t>https://www.theguardian.com/world/2016/feb/26/croatia-slovenia-limits-refugee-numbers-europe-greece</w:t>
        </w:r>
      </w:hyperlink>
      <w:r w:rsidRPr="00D82148">
        <w:rPr>
          <w:lang w:val="en-GB"/>
        </w:rPr>
        <w:t xml:space="preserve"> - last accessed on 16 October 2016). </w:t>
      </w:r>
    </w:p>
  </w:footnote>
  <w:footnote w:id="9">
    <w:p w14:paraId="799B4FFB"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P. </w:t>
      </w:r>
      <w:proofErr w:type="spellStart"/>
      <w:r w:rsidRPr="00D82148">
        <w:rPr>
          <w:lang w:val="en-GB"/>
        </w:rPr>
        <w:t>Teffer</w:t>
      </w:r>
      <w:proofErr w:type="spellEnd"/>
      <w:r w:rsidRPr="00D82148">
        <w:rPr>
          <w:lang w:val="en-GB"/>
        </w:rPr>
        <w:t>, Balkan countries close borders to economic migrants</w:t>
      </w:r>
      <w:proofErr w:type="gramStart"/>
      <w:r w:rsidRPr="00D82148">
        <w:rPr>
          <w:lang w:val="en-GB"/>
        </w:rPr>
        <w:t xml:space="preserve">,  </w:t>
      </w:r>
      <w:proofErr w:type="spellStart"/>
      <w:r w:rsidRPr="00D82148">
        <w:rPr>
          <w:lang w:val="en-GB"/>
        </w:rPr>
        <w:t>EUobserver</w:t>
      </w:r>
      <w:proofErr w:type="spellEnd"/>
      <w:proofErr w:type="gramEnd"/>
      <w:r w:rsidRPr="00D82148">
        <w:rPr>
          <w:lang w:val="en-GB"/>
        </w:rPr>
        <w:t>, 20 November 2015 (</w:t>
      </w:r>
      <w:hyperlink r:id="rId5" w:history="1">
        <w:r w:rsidRPr="00D82148">
          <w:rPr>
            <w:rStyle w:val="Hyperlink"/>
            <w:lang w:val="en-GB"/>
          </w:rPr>
          <w:t>https://euobserver.com/migration/131192</w:t>
        </w:r>
      </w:hyperlink>
      <w:r w:rsidRPr="00D82148">
        <w:rPr>
          <w:lang w:val="en-GB"/>
        </w:rPr>
        <w:t xml:space="preserve"> - last accessed on 16 October 2017). </w:t>
      </w:r>
    </w:p>
  </w:footnote>
  <w:footnote w:id="10">
    <w:p w14:paraId="565846B8"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Ibid.</w:t>
      </w:r>
    </w:p>
  </w:footnote>
  <w:footnote w:id="11">
    <w:p w14:paraId="139DE879"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Joint Statement of Heads of Police Services from the Meeting Held in Zagreb, Croatia on 18th February 2016, points 5 and 6 (available at: </w:t>
      </w:r>
      <w:hyperlink r:id="rId6" w:history="1">
        <w:r w:rsidRPr="00D82148">
          <w:rPr>
            <w:rStyle w:val="Hyperlink"/>
            <w:lang w:val="en-GB"/>
          </w:rPr>
          <w:t>https://www.mup.hr/UserDocsImages/topvijesti/2016/veljaca/migranti_sastanak/joint_statement.pdf</w:t>
        </w:r>
      </w:hyperlink>
      <w:r w:rsidRPr="00D82148">
        <w:rPr>
          <w:lang w:val="en-GB"/>
        </w:rPr>
        <w:t xml:space="preserve"> - last accessed on 16 October 2017). </w:t>
      </w:r>
    </w:p>
  </w:footnote>
  <w:footnote w:id="12">
    <w:p w14:paraId="2BEC2574" w14:textId="77777777" w:rsidR="003650E9" w:rsidRPr="00D82148" w:rsidRDefault="003650E9" w:rsidP="00860BFA">
      <w:pPr>
        <w:pStyle w:val="FootnoteText"/>
        <w:rPr>
          <w:lang w:val="en-GB"/>
        </w:rPr>
      </w:pPr>
      <w:r w:rsidRPr="00D82148">
        <w:rPr>
          <w:rStyle w:val="FootnoteReference"/>
          <w:lang w:val="en-GB"/>
        </w:rPr>
        <w:footnoteRef/>
      </w:r>
      <w:r w:rsidRPr="00D82148">
        <w:rPr>
          <w:lang w:val="en-GB"/>
        </w:rPr>
        <w:t xml:space="preserve"> </w:t>
      </w:r>
      <w:proofErr w:type="gramStart"/>
      <w:r w:rsidRPr="00D82148">
        <w:rPr>
          <w:lang w:val="en-GB"/>
        </w:rPr>
        <w:t xml:space="preserve">EU-Turkey Statement, 18 March 2016 (available at: </w:t>
      </w:r>
      <w:hyperlink r:id="rId7" w:history="1">
        <w:r w:rsidRPr="00D82148">
          <w:rPr>
            <w:rStyle w:val="Hyperlink"/>
            <w:lang w:val="en-GB"/>
          </w:rPr>
          <w:t>http://www.consilium.europa.eu/en/press/press-releases/2016/03/18-eu-turkey-statement/</w:t>
        </w:r>
      </w:hyperlink>
      <w:r w:rsidRPr="00D82148">
        <w:rPr>
          <w:lang w:val="en-GB"/>
        </w:rPr>
        <w:t xml:space="preserve"> - last accessed on 16 October 2017).</w:t>
      </w:r>
      <w:proofErr w:type="gramEnd"/>
      <w:r w:rsidRPr="00D82148">
        <w:rPr>
          <w:lang w:val="en-GB"/>
        </w:rPr>
        <w:t xml:space="preserve"> </w:t>
      </w:r>
    </w:p>
  </w:footnote>
  <w:footnote w:id="13">
    <w:p w14:paraId="1D658F29" w14:textId="77777777" w:rsidR="003650E9" w:rsidRPr="00D82148" w:rsidRDefault="003650E9" w:rsidP="00860BFA">
      <w:pPr>
        <w:pStyle w:val="FootnoteText"/>
        <w:rPr>
          <w:lang w:val="en-GB"/>
        </w:rPr>
      </w:pPr>
      <w:r w:rsidRPr="00D82148">
        <w:rPr>
          <w:rStyle w:val="FootnoteReference"/>
          <w:lang w:val="en-GB"/>
        </w:rPr>
        <w:footnoteRef/>
      </w:r>
      <w:r w:rsidRPr="00D82148">
        <w:rPr>
          <w:lang w:val="en-GB"/>
        </w:rPr>
        <w:t xml:space="preserve"> See point 2 in the Statement, available at: </w:t>
      </w:r>
      <w:hyperlink r:id="rId8" w:history="1">
        <w:r w:rsidRPr="00D82148">
          <w:rPr>
            <w:rStyle w:val="Hyperlink"/>
            <w:lang w:val="en-GB"/>
          </w:rPr>
          <w:t>http://www.consilium.europa.eu/en/press/press-releases/2016/03/07-eu-turkey-meeting-statement/</w:t>
        </w:r>
      </w:hyperlink>
      <w:r w:rsidRPr="00D82148">
        <w:rPr>
          <w:lang w:val="en-GB"/>
        </w:rPr>
        <w:t xml:space="preserve"> (last accessed on 16 October 2017). </w:t>
      </w:r>
    </w:p>
  </w:footnote>
  <w:footnote w:id="14">
    <w:p w14:paraId="5C31DE53" w14:textId="77777777" w:rsidR="003650E9" w:rsidRPr="00D82148" w:rsidRDefault="003650E9" w:rsidP="00860BFA">
      <w:pPr>
        <w:pStyle w:val="FootnoteText"/>
        <w:rPr>
          <w:lang w:val="en-GB"/>
        </w:rPr>
      </w:pPr>
      <w:r w:rsidRPr="00D82148">
        <w:rPr>
          <w:rStyle w:val="FootnoteReference"/>
          <w:lang w:val="en-GB"/>
        </w:rPr>
        <w:footnoteRef/>
      </w:r>
      <w:r w:rsidRPr="00D82148">
        <w:rPr>
          <w:lang w:val="en-GB"/>
        </w:rPr>
        <w:t xml:space="preserve"> </w:t>
      </w:r>
      <w:proofErr w:type="spellStart"/>
      <w:r w:rsidRPr="00D82148">
        <w:rPr>
          <w:lang w:val="en-GB"/>
        </w:rPr>
        <w:t>Euractive</w:t>
      </w:r>
      <w:proofErr w:type="spellEnd"/>
      <w:r w:rsidRPr="00D82148">
        <w:rPr>
          <w:lang w:val="en-GB"/>
        </w:rPr>
        <w:t xml:space="preserve">, Balkan Route 'closed' after cascade of border shutdowns, 9 March 2016 (available at: </w:t>
      </w:r>
      <w:hyperlink r:id="rId9" w:history="1">
        <w:r w:rsidRPr="00D82148">
          <w:rPr>
            <w:rStyle w:val="Hyperlink"/>
            <w:lang w:val="en-GB"/>
          </w:rPr>
          <w:t>https://www.euractiv.com/section/global-europe/news/balkan-route-closed-after-cascade-of-border-shutdowns/</w:t>
        </w:r>
      </w:hyperlink>
      <w:r w:rsidRPr="00D82148">
        <w:rPr>
          <w:lang w:val="en-GB"/>
        </w:rPr>
        <w:t xml:space="preserve"> - last accessed on 16 October 2017). </w:t>
      </w:r>
    </w:p>
  </w:footnote>
  <w:footnote w:id="15">
    <w:p w14:paraId="002B0C78"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Regional Refugee and Migrant Response Plan for Europe: Eastern Mediterranean and Western Balkans Route, UNHCR, 2016 (available at: </w:t>
      </w:r>
      <w:hyperlink r:id="rId10" w:history="1">
        <w:r w:rsidRPr="00D82148">
          <w:rPr>
            <w:rStyle w:val="Hyperlink"/>
            <w:lang w:val="en-GB"/>
          </w:rPr>
          <w:t>http://www.unhcr.org/577220cf7.pdf</w:t>
        </w:r>
      </w:hyperlink>
      <w:r w:rsidRPr="00D82148">
        <w:rPr>
          <w:lang w:val="en-GB"/>
        </w:rPr>
        <w:t xml:space="preserve"> - last accessed on 16 October 2017). See also the press release of the Croatian Ministry of Interior (available at: </w:t>
      </w:r>
      <w:hyperlink r:id="rId11" w:history="1">
        <w:r w:rsidRPr="00D82148">
          <w:rPr>
            <w:rStyle w:val="Hyperlink"/>
            <w:lang w:val="en-GB"/>
          </w:rPr>
          <w:t>https://www.mup.hr/novosti/364/priopcenje-za-javnost</w:t>
        </w:r>
      </w:hyperlink>
      <w:r w:rsidRPr="00D82148">
        <w:rPr>
          <w:lang w:val="en-GB"/>
        </w:rPr>
        <w:t xml:space="preserve"> - last accessed on 16 October 2017). </w:t>
      </w:r>
    </w:p>
  </w:footnote>
  <w:footnote w:id="16">
    <w:p w14:paraId="0E8A03CE"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w:t>
      </w:r>
      <w:proofErr w:type="gramStart"/>
      <w:r w:rsidRPr="00D82148">
        <w:rPr>
          <w:lang w:val="en-GB"/>
        </w:rPr>
        <w:t xml:space="preserve">See S. </w:t>
      </w:r>
      <w:proofErr w:type="spellStart"/>
      <w:r w:rsidRPr="00D82148">
        <w:rPr>
          <w:lang w:val="en-GB"/>
        </w:rPr>
        <w:t>Šelo</w:t>
      </w:r>
      <w:proofErr w:type="spellEnd"/>
      <w:r w:rsidRPr="00D82148">
        <w:rPr>
          <w:lang w:val="en-GB"/>
        </w:rPr>
        <w:t xml:space="preserve"> </w:t>
      </w:r>
      <w:proofErr w:type="spellStart"/>
      <w:r w:rsidRPr="00D82148">
        <w:rPr>
          <w:lang w:val="en-GB"/>
        </w:rPr>
        <w:t>Šabić</w:t>
      </w:r>
      <w:proofErr w:type="spellEnd"/>
      <w:r w:rsidRPr="00D82148">
        <w:rPr>
          <w:lang w:val="en-GB"/>
        </w:rPr>
        <w:t xml:space="preserve"> and S. </w:t>
      </w:r>
      <w:proofErr w:type="spellStart"/>
      <w:r w:rsidRPr="00D82148">
        <w:rPr>
          <w:lang w:val="en-GB"/>
        </w:rPr>
        <w:t>Borić</w:t>
      </w:r>
      <w:proofErr w:type="spellEnd"/>
      <w:proofErr w:type="gramEnd"/>
      <w:r w:rsidRPr="00D82148">
        <w:rPr>
          <w:lang w:val="en-GB"/>
        </w:rPr>
        <w:t xml:space="preserve">, </w:t>
      </w:r>
      <w:proofErr w:type="gramStart"/>
      <w:r w:rsidRPr="00D82148">
        <w:rPr>
          <w:lang w:val="en-GB"/>
        </w:rPr>
        <w:t>supra note 1</w:t>
      </w:r>
      <w:proofErr w:type="gramEnd"/>
      <w:r w:rsidRPr="00D82148">
        <w:rPr>
          <w:lang w:val="en-GB"/>
        </w:rPr>
        <w:t xml:space="preserve">. </w:t>
      </w:r>
    </w:p>
  </w:footnote>
  <w:footnote w:id="17">
    <w:p w14:paraId="5FC0AFC1"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Risk Analysis for 2017, </w:t>
      </w:r>
      <w:proofErr w:type="spellStart"/>
      <w:r w:rsidRPr="00D82148">
        <w:rPr>
          <w:lang w:val="en-GB"/>
        </w:rPr>
        <w:t>Frontex</w:t>
      </w:r>
      <w:proofErr w:type="spellEnd"/>
      <w:r w:rsidRPr="00D82148">
        <w:rPr>
          <w:lang w:val="en-GB"/>
        </w:rPr>
        <w:t xml:space="preserve">, 2017, 1-16, p. 19 (available at: </w:t>
      </w:r>
      <w:hyperlink r:id="rId12" w:history="1">
        <w:r w:rsidRPr="00D82148">
          <w:rPr>
            <w:rStyle w:val="Hyperlink"/>
            <w:lang w:val="en-GB"/>
          </w:rPr>
          <w:t>http://frontex.europa.eu/assets/Publications/Risk_Analysis/Annual_Risk_Analysis_2017.pdf</w:t>
        </w:r>
      </w:hyperlink>
      <w:r w:rsidRPr="00D82148">
        <w:rPr>
          <w:lang w:val="en-GB"/>
        </w:rPr>
        <w:t xml:space="preserve"> - last accessed on 16 October 2017). </w:t>
      </w:r>
    </w:p>
  </w:footnote>
  <w:footnote w:id="18">
    <w:p w14:paraId="7E2376FA"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Aida, Country Repo</w:t>
      </w:r>
      <w:r>
        <w:rPr>
          <w:lang w:val="en-GB"/>
        </w:rPr>
        <w:t>r</w:t>
      </w:r>
      <w:r w:rsidRPr="00D82148">
        <w:rPr>
          <w:lang w:val="en-GB"/>
        </w:rPr>
        <w:t xml:space="preserve">t: Croatia, 2016 Update, 1-86, p. 28. </w:t>
      </w:r>
    </w:p>
  </w:footnote>
  <w:footnote w:id="19">
    <w:p w14:paraId="31984E81"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EESC fact-finding missions on the situation of refugees, as seen by civil society organisations, Mission Report – Croatia, 12-13 January 2016, 1-8, p. 2. </w:t>
      </w:r>
    </w:p>
  </w:footnote>
  <w:footnote w:id="20">
    <w:p w14:paraId="3B08841A"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w:t>
      </w:r>
      <w:proofErr w:type="gramStart"/>
      <w:r w:rsidRPr="00D82148">
        <w:rPr>
          <w:lang w:val="en-GB"/>
        </w:rPr>
        <w:t>Infringement Decision 2015/2197.</w:t>
      </w:r>
      <w:proofErr w:type="gramEnd"/>
      <w:r w:rsidRPr="00D82148">
        <w:rPr>
          <w:lang w:val="en-GB"/>
        </w:rPr>
        <w:t xml:space="preserve"> </w:t>
      </w:r>
    </w:p>
  </w:footnote>
  <w:footnote w:id="21">
    <w:p w14:paraId="50C0C019" w14:textId="14C0CD84" w:rsidR="003650E9" w:rsidRPr="00D82148" w:rsidRDefault="003650E9">
      <w:pPr>
        <w:pStyle w:val="FootnoteText"/>
        <w:rPr>
          <w:lang w:val="en-GB"/>
        </w:rPr>
      </w:pPr>
      <w:r w:rsidRPr="00D82148">
        <w:rPr>
          <w:rStyle w:val="FootnoteReference"/>
          <w:lang w:val="en-GB"/>
        </w:rPr>
        <w:footnoteRef/>
      </w:r>
      <w:r w:rsidRPr="00D82148">
        <w:rPr>
          <w:lang w:val="en-GB"/>
        </w:rPr>
        <w:t xml:space="preserve"> M. </w:t>
      </w:r>
      <w:proofErr w:type="spellStart"/>
      <w:r w:rsidRPr="00D82148">
        <w:rPr>
          <w:lang w:val="en-GB"/>
        </w:rPr>
        <w:t>Valenta</w:t>
      </w:r>
      <w:proofErr w:type="spellEnd"/>
      <w:r w:rsidRPr="00D82148">
        <w:rPr>
          <w:lang w:val="en-GB"/>
        </w:rPr>
        <w:t xml:space="preserve">, D. </w:t>
      </w:r>
      <w:proofErr w:type="spellStart"/>
      <w:r w:rsidRPr="00D82148">
        <w:rPr>
          <w:lang w:val="en-GB"/>
        </w:rPr>
        <w:t>Župarić-Iljić</w:t>
      </w:r>
      <w:proofErr w:type="spellEnd"/>
      <w:r w:rsidRPr="00D82148">
        <w:rPr>
          <w:lang w:val="en-GB"/>
        </w:rPr>
        <w:t xml:space="preserve"> and T. </w:t>
      </w:r>
      <w:proofErr w:type="spellStart"/>
      <w:r w:rsidRPr="00D82148">
        <w:rPr>
          <w:lang w:val="en-GB"/>
        </w:rPr>
        <w:t>Vidović</w:t>
      </w:r>
      <w:proofErr w:type="spellEnd"/>
      <w:r w:rsidRPr="00D82148">
        <w:rPr>
          <w:lang w:val="en-GB"/>
        </w:rPr>
        <w:t xml:space="preserve">, The Reluctant Asylum-Seekers: Migrants at the </w:t>
      </w:r>
      <w:proofErr w:type="spellStart"/>
      <w:r w:rsidRPr="00D82148">
        <w:rPr>
          <w:lang w:val="en-GB"/>
        </w:rPr>
        <w:t>Southeastern</w:t>
      </w:r>
      <w:proofErr w:type="spellEnd"/>
      <w:r w:rsidRPr="00D82148">
        <w:rPr>
          <w:lang w:val="en-GB"/>
        </w:rPr>
        <w:t xml:space="preserve"> Frontiers of the European Migration System, </w:t>
      </w:r>
      <w:r w:rsidR="00C822D1">
        <w:rPr>
          <w:lang w:val="en-GB"/>
        </w:rPr>
        <w:t xml:space="preserve">(2015) 34 </w:t>
      </w:r>
      <w:r w:rsidRPr="00C1437B">
        <w:rPr>
          <w:i/>
          <w:lang w:val="en-GB"/>
        </w:rPr>
        <w:t>Refugee Survey Quarterly</w:t>
      </w:r>
      <w:r w:rsidRPr="00D82148">
        <w:rPr>
          <w:lang w:val="en-GB"/>
        </w:rPr>
        <w:t xml:space="preserve"> (2015) 95</w:t>
      </w:r>
      <w:r w:rsidR="00C822D1">
        <w:rPr>
          <w:lang w:val="en-GB"/>
        </w:rPr>
        <w:t>,</w:t>
      </w:r>
      <w:r w:rsidRPr="00D82148">
        <w:rPr>
          <w:lang w:val="en-GB"/>
        </w:rPr>
        <w:t xml:space="preserve"> 95. </w:t>
      </w:r>
    </w:p>
  </w:footnote>
  <w:footnote w:id="22">
    <w:p w14:paraId="0D965314"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J. </w:t>
      </w:r>
      <w:proofErr w:type="spellStart"/>
      <w:r w:rsidRPr="00D82148">
        <w:rPr>
          <w:lang w:val="en-GB"/>
        </w:rPr>
        <w:t>Barberić</w:t>
      </w:r>
      <w:proofErr w:type="spellEnd"/>
      <w:r w:rsidRPr="00D82148">
        <w:rPr>
          <w:lang w:val="en-GB"/>
        </w:rPr>
        <w:t xml:space="preserve">, Asylum in the Republic of Croatia one year after accession to the European Union, </w:t>
      </w:r>
    </w:p>
    <w:p w14:paraId="5AFDF17E" w14:textId="77777777" w:rsidR="003650E9" w:rsidRPr="00D82148" w:rsidRDefault="003650E9">
      <w:pPr>
        <w:pStyle w:val="FootnoteText"/>
        <w:rPr>
          <w:lang w:val="en-GB"/>
        </w:rPr>
      </w:pPr>
      <w:r w:rsidRPr="00D82148">
        <w:rPr>
          <w:lang w:val="en-GB"/>
        </w:rPr>
        <w:t xml:space="preserve">New Issues in Refugee Research, Research Paper No. 273, UNHCR, January 2015, 1-12, p. 2. </w:t>
      </w:r>
    </w:p>
  </w:footnote>
  <w:footnote w:id="23">
    <w:p w14:paraId="5B2656B3"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Eurostat News release, Asylum in the EU Member States, 53 (2015), 20 March 2015 (available at: </w:t>
      </w:r>
      <w:hyperlink r:id="rId13" w:history="1">
        <w:r w:rsidRPr="00D82148">
          <w:rPr>
            <w:rStyle w:val="Hyperlink"/>
            <w:lang w:val="en-GB"/>
          </w:rPr>
          <w:t>http://ec.europa.eu/eurostat/documents/2995521/6751779/3-20032015-BP-EN.pdf/35e04263-2db5-4e75-b3d3-6b086b23ef2b</w:t>
        </w:r>
      </w:hyperlink>
      <w:r w:rsidRPr="00D82148">
        <w:rPr>
          <w:lang w:val="en-GB"/>
        </w:rPr>
        <w:t xml:space="preserve"> - last accessed on 16 October 2017). </w:t>
      </w:r>
    </w:p>
  </w:footnote>
  <w:footnote w:id="24">
    <w:p w14:paraId="68D8E864"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Eurostat News</w:t>
      </w:r>
      <w:r>
        <w:rPr>
          <w:lang w:val="en-GB"/>
        </w:rPr>
        <w:t xml:space="preserve"> R</w:t>
      </w:r>
      <w:r w:rsidRPr="00D82148">
        <w:rPr>
          <w:lang w:val="en-GB"/>
        </w:rPr>
        <w:t xml:space="preserve">elease, Asylum in the EU Member States, 46 (2017), 16 March 2017 (available at: </w:t>
      </w:r>
      <w:hyperlink r:id="rId14" w:history="1">
        <w:r w:rsidRPr="00D82148">
          <w:rPr>
            <w:rStyle w:val="Hyperlink"/>
            <w:lang w:val="en-GB"/>
          </w:rPr>
          <w:t>http://ec.europa.eu/eurostat/documents/2995521/7921609/3-16032017-BP-EN.pdf/e5fa98bb-5d9d-4297-9168-d07c67d1c9e1</w:t>
        </w:r>
      </w:hyperlink>
      <w:r w:rsidRPr="00D82148">
        <w:rPr>
          <w:lang w:val="en-GB"/>
        </w:rPr>
        <w:t xml:space="preserve"> - last accessed on 16 October 2017). </w:t>
      </w:r>
    </w:p>
  </w:footnote>
  <w:footnote w:id="25">
    <w:p w14:paraId="64583C96"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Eurostat Statistics Explained, Asylum Statistics (availab</w:t>
      </w:r>
      <w:r>
        <w:rPr>
          <w:lang w:val="en-GB"/>
        </w:rPr>
        <w:t>l</w:t>
      </w:r>
      <w:r w:rsidRPr="00D82148">
        <w:rPr>
          <w:lang w:val="en-GB"/>
        </w:rPr>
        <w:t xml:space="preserve">e at: </w:t>
      </w:r>
      <w:hyperlink r:id="rId15" w:history="1">
        <w:r w:rsidRPr="00D82148">
          <w:rPr>
            <w:rStyle w:val="Hyperlink"/>
            <w:lang w:val="en-GB"/>
          </w:rPr>
          <w:t>http://ec.europa.eu/eurostat/statistics-explained/index.php/Asylum_statistics</w:t>
        </w:r>
      </w:hyperlink>
      <w:r w:rsidRPr="00D82148">
        <w:rPr>
          <w:lang w:val="en-GB"/>
        </w:rPr>
        <w:t xml:space="preserve"> - last accessed on 16 October 2017). </w:t>
      </w:r>
    </w:p>
  </w:footnote>
  <w:footnote w:id="26">
    <w:p w14:paraId="281934CA" w14:textId="77777777" w:rsidR="003650E9" w:rsidRPr="00D82148" w:rsidRDefault="003650E9" w:rsidP="009C2FA5">
      <w:pPr>
        <w:rPr>
          <w:rFonts w:ascii="Cambria" w:eastAsia="MS Mincho" w:hAnsi="Cambria" w:cs="Times New Roman"/>
          <w:sz w:val="20"/>
          <w:szCs w:val="20"/>
          <w:lang w:val="en-GB"/>
        </w:rPr>
      </w:pPr>
      <w:r w:rsidRPr="00D82148">
        <w:rPr>
          <w:rStyle w:val="FootnoteReference"/>
          <w:lang w:val="en-GB"/>
        </w:rPr>
        <w:footnoteRef/>
      </w:r>
      <w:r w:rsidRPr="00D82148">
        <w:rPr>
          <w:lang w:val="en-GB"/>
        </w:rPr>
        <w:t xml:space="preserve"> </w:t>
      </w:r>
      <w:r w:rsidRPr="00D82148">
        <w:rPr>
          <w:rFonts w:ascii="Cambria" w:eastAsia="MS Mincho" w:hAnsi="Cambria" w:cs="Times New Roman"/>
          <w:sz w:val="20"/>
          <w:szCs w:val="20"/>
          <w:lang w:val="en-GB"/>
        </w:rPr>
        <w:t xml:space="preserve">Art. 6(1)(a), (b) and (c) of Regulation (EU) 2016/399 of the European Parliament and of the Council of 9 March 2016 on a Union Code on the rules governing the movement of persons across borders (Schengen Borders Code). </w:t>
      </w:r>
    </w:p>
  </w:footnote>
  <w:footnote w:id="27">
    <w:p w14:paraId="6A0AEB3E"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Art. </w:t>
      </w:r>
      <w:proofErr w:type="gramStart"/>
      <w:r w:rsidRPr="00D82148">
        <w:rPr>
          <w:lang w:val="en-GB"/>
        </w:rPr>
        <w:t>6(5)(c) of the Schengen Borders Code.</w:t>
      </w:r>
      <w:proofErr w:type="gramEnd"/>
      <w:r w:rsidRPr="00D82148">
        <w:rPr>
          <w:lang w:val="en-GB"/>
        </w:rPr>
        <w:t xml:space="preserve"> For another exception, which is not relevant for the developments on the Western Balkans route, see Art. </w:t>
      </w:r>
      <w:proofErr w:type="gramStart"/>
      <w:r w:rsidRPr="00D82148">
        <w:rPr>
          <w:lang w:val="en-GB"/>
        </w:rPr>
        <w:t>6(5)(a) of the Schengen Borders Code.</w:t>
      </w:r>
      <w:proofErr w:type="gramEnd"/>
      <w:r w:rsidRPr="00D82148">
        <w:rPr>
          <w:lang w:val="en-GB"/>
        </w:rPr>
        <w:t xml:space="preserve"> </w:t>
      </w:r>
    </w:p>
  </w:footnote>
  <w:footnote w:id="28">
    <w:p w14:paraId="3FEF9CC3"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In that respect, see the statement of AG </w:t>
      </w:r>
      <w:proofErr w:type="spellStart"/>
      <w:r w:rsidRPr="00D82148">
        <w:rPr>
          <w:lang w:val="en-GB"/>
        </w:rPr>
        <w:t>Sharpston</w:t>
      </w:r>
      <w:proofErr w:type="spellEnd"/>
      <w:r w:rsidRPr="00D82148">
        <w:rPr>
          <w:lang w:val="en-GB"/>
        </w:rPr>
        <w:t xml:space="preserve"> in Case 490/16, </w:t>
      </w:r>
      <w:r w:rsidRPr="00D82148">
        <w:rPr>
          <w:i/>
          <w:lang w:val="en-GB"/>
        </w:rPr>
        <w:t>A.S. v Slovenia</w:t>
      </w:r>
      <w:r w:rsidRPr="00D82148">
        <w:rPr>
          <w:lang w:val="en-GB"/>
        </w:rPr>
        <w:t xml:space="preserve"> and </w:t>
      </w:r>
      <w:proofErr w:type="gramStart"/>
      <w:r w:rsidRPr="00D82148">
        <w:rPr>
          <w:lang w:val="en-GB"/>
        </w:rPr>
        <w:t>Case 646/16</w:t>
      </w:r>
      <w:proofErr w:type="gramEnd"/>
      <w:r w:rsidRPr="00D82148">
        <w:rPr>
          <w:lang w:val="en-GB"/>
        </w:rPr>
        <w:t xml:space="preserve"> </w:t>
      </w:r>
      <w:proofErr w:type="spellStart"/>
      <w:r w:rsidRPr="00D82148">
        <w:rPr>
          <w:i/>
          <w:lang w:val="en-GB"/>
        </w:rPr>
        <w:t>Jafari</w:t>
      </w:r>
      <w:proofErr w:type="spellEnd"/>
      <w:r w:rsidRPr="00D82148">
        <w:rPr>
          <w:lang w:val="en-GB"/>
        </w:rPr>
        <w:t xml:space="preserve">, </w:t>
      </w:r>
      <w:proofErr w:type="spellStart"/>
      <w:r w:rsidRPr="00D82148">
        <w:rPr>
          <w:lang w:val="en-GB"/>
        </w:rPr>
        <w:t>para</w:t>
      </w:r>
      <w:proofErr w:type="spellEnd"/>
      <w:r w:rsidRPr="00D82148">
        <w:rPr>
          <w:lang w:val="en-GB"/>
        </w:rPr>
        <w:t xml:space="preserve">. 174. </w:t>
      </w:r>
    </w:p>
  </w:footnote>
  <w:footnote w:id="29">
    <w:p w14:paraId="665DCC9D" w14:textId="77777777" w:rsidR="003650E9" w:rsidRPr="00D82148" w:rsidRDefault="003650E9" w:rsidP="009C106B">
      <w:pPr>
        <w:pStyle w:val="FootnoteText"/>
        <w:rPr>
          <w:rFonts w:ascii="Calibri" w:hAnsi="Calibri"/>
          <w:lang w:val="en-GB"/>
        </w:rPr>
      </w:pPr>
      <w:r w:rsidRPr="00D82148">
        <w:rPr>
          <w:rStyle w:val="FootnoteReference"/>
          <w:rFonts w:ascii="Calibri" w:hAnsi="Calibri"/>
          <w:lang w:val="en-GB"/>
        </w:rPr>
        <w:footnoteRef/>
      </w:r>
      <w:r w:rsidRPr="00D82148">
        <w:rPr>
          <w:rFonts w:ascii="Calibri" w:hAnsi="Calibri"/>
          <w:lang w:val="en-GB"/>
        </w:rPr>
        <w:t xml:space="preserve"> </w:t>
      </w:r>
      <w:r w:rsidRPr="00D82148">
        <w:rPr>
          <w:rFonts w:ascii="Calibri" w:hAnsi="Calibri"/>
          <w:i/>
          <w:lang w:val="en-GB"/>
        </w:rPr>
        <w:t>MSS v Belgium and Greece</w:t>
      </w:r>
      <w:r w:rsidRPr="00D82148">
        <w:rPr>
          <w:rFonts w:ascii="Calibri" w:hAnsi="Calibri"/>
          <w:lang w:val="en-GB"/>
        </w:rPr>
        <w:t xml:space="preserve">, </w:t>
      </w:r>
      <w:r w:rsidRPr="00D82148">
        <w:rPr>
          <w:rStyle w:val="s6b621b36"/>
          <w:rFonts w:ascii="Calibri" w:hAnsi="Calibri"/>
          <w:lang w:val="en-GB"/>
        </w:rPr>
        <w:t>Application number 30696/09 (</w:t>
      </w:r>
      <w:proofErr w:type="spellStart"/>
      <w:r w:rsidRPr="00D82148">
        <w:rPr>
          <w:rStyle w:val="s6b621b36"/>
          <w:rFonts w:ascii="Calibri" w:hAnsi="Calibri"/>
          <w:lang w:val="en-GB"/>
        </w:rPr>
        <w:t>ECtHR</w:t>
      </w:r>
      <w:proofErr w:type="spellEnd"/>
      <w:r w:rsidRPr="00D82148">
        <w:rPr>
          <w:rStyle w:val="s6b621b36"/>
          <w:rFonts w:ascii="Calibri" w:hAnsi="Calibri"/>
          <w:lang w:val="en-GB"/>
        </w:rPr>
        <w:t>, 21 January 2011).</w:t>
      </w:r>
    </w:p>
  </w:footnote>
  <w:footnote w:id="30">
    <w:p w14:paraId="377F92D4" w14:textId="77777777" w:rsidR="003650E9" w:rsidRPr="00D82148" w:rsidRDefault="003650E9" w:rsidP="009C106B">
      <w:pPr>
        <w:pStyle w:val="FootnoteText"/>
        <w:rPr>
          <w:rFonts w:ascii="Calibri" w:hAnsi="Calibri" w:cs="Verdana"/>
          <w:bCs/>
          <w:lang w:val="en-GB"/>
        </w:rPr>
      </w:pPr>
      <w:r w:rsidRPr="00D82148">
        <w:rPr>
          <w:rStyle w:val="FootnoteReference"/>
          <w:rFonts w:ascii="Calibri" w:hAnsi="Calibri"/>
          <w:lang w:val="en-GB"/>
        </w:rPr>
        <w:footnoteRef/>
      </w:r>
      <w:r w:rsidRPr="00D82148">
        <w:rPr>
          <w:rFonts w:ascii="Calibri" w:hAnsi="Calibri"/>
          <w:lang w:val="en-GB"/>
        </w:rPr>
        <w:t xml:space="preserve"> Joined cases C-411/10 and C-493/10, </w:t>
      </w:r>
      <w:r w:rsidRPr="00D82148">
        <w:rPr>
          <w:rFonts w:ascii="Calibri" w:hAnsi="Calibri"/>
          <w:i/>
          <w:lang w:val="en-GB"/>
        </w:rPr>
        <w:t>NS v Secretary of State for the Home Department and ME and Others v Refugee Applications Commissioner and Minister for Justice, Equality and Law</w:t>
      </w:r>
      <w:r w:rsidRPr="00D82148">
        <w:rPr>
          <w:rFonts w:ascii="Calibri" w:hAnsi="Calibri"/>
          <w:lang w:val="en-GB"/>
        </w:rPr>
        <w:t xml:space="preserve">, </w:t>
      </w:r>
      <w:r w:rsidRPr="00D82148">
        <w:rPr>
          <w:rFonts w:ascii="Calibri" w:hAnsi="Calibri" w:cs="Verdana"/>
          <w:bCs/>
          <w:lang w:val="en-GB"/>
        </w:rPr>
        <w:t>ECLI</w:t>
      </w:r>
      <w:proofErr w:type="gramStart"/>
      <w:r w:rsidRPr="00D82148">
        <w:rPr>
          <w:rFonts w:ascii="Calibri" w:hAnsi="Calibri" w:cs="Verdana"/>
          <w:bCs/>
          <w:lang w:val="en-GB"/>
        </w:rPr>
        <w:t>:EU:C:2011:865</w:t>
      </w:r>
      <w:proofErr w:type="gramEnd"/>
      <w:r w:rsidRPr="00D82148">
        <w:rPr>
          <w:rFonts w:ascii="Calibri" w:hAnsi="Calibri" w:cs="Verdana"/>
          <w:bCs/>
          <w:lang w:val="en-GB"/>
        </w:rPr>
        <w:t xml:space="preserve">. </w:t>
      </w:r>
    </w:p>
  </w:footnote>
  <w:footnote w:id="31">
    <w:p w14:paraId="3430A928"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The judgments in MSS and NS were followed by the subsequent </w:t>
      </w:r>
      <w:proofErr w:type="spellStart"/>
      <w:r w:rsidRPr="00D82148">
        <w:rPr>
          <w:lang w:val="en-GB"/>
        </w:rPr>
        <w:t>ECtHR</w:t>
      </w:r>
      <w:proofErr w:type="spellEnd"/>
      <w:r w:rsidRPr="00D82148">
        <w:rPr>
          <w:lang w:val="en-GB"/>
        </w:rPr>
        <w:t xml:space="preserve"> and CJEU judgments in </w:t>
      </w:r>
      <w:proofErr w:type="spellStart"/>
      <w:r w:rsidRPr="00D82148">
        <w:rPr>
          <w:i/>
          <w:lang w:val="en-GB"/>
        </w:rPr>
        <w:t>Abdullahi</w:t>
      </w:r>
      <w:proofErr w:type="spellEnd"/>
      <w:r w:rsidRPr="00D82148">
        <w:rPr>
          <w:lang w:val="en-GB"/>
        </w:rPr>
        <w:t xml:space="preserve"> (Case C-394/12 </w:t>
      </w:r>
      <w:proofErr w:type="spellStart"/>
      <w:r w:rsidRPr="00D82148">
        <w:rPr>
          <w:i/>
          <w:lang w:val="en-GB"/>
        </w:rPr>
        <w:t>Shamso</w:t>
      </w:r>
      <w:proofErr w:type="spellEnd"/>
      <w:r w:rsidRPr="00D82148">
        <w:rPr>
          <w:i/>
          <w:lang w:val="en-GB"/>
        </w:rPr>
        <w:t xml:space="preserve"> </w:t>
      </w:r>
      <w:proofErr w:type="spellStart"/>
      <w:r w:rsidRPr="00D82148">
        <w:rPr>
          <w:i/>
          <w:lang w:val="en-GB"/>
        </w:rPr>
        <w:t>Abdullahi</w:t>
      </w:r>
      <w:proofErr w:type="spellEnd"/>
      <w:r w:rsidRPr="00D82148">
        <w:rPr>
          <w:i/>
          <w:lang w:val="en-GB"/>
        </w:rPr>
        <w:t xml:space="preserve"> v </w:t>
      </w:r>
      <w:proofErr w:type="spellStart"/>
      <w:r w:rsidRPr="00D82148">
        <w:rPr>
          <w:i/>
          <w:lang w:val="en-GB"/>
        </w:rPr>
        <w:t>Bundesasylamt</w:t>
      </w:r>
      <w:proofErr w:type="spellEnd"/>
      <w:r w:rsidRPr="00D82148">
        <w:rPr>
          <w:lang w:val="en-GB"/>
        </w:rPr>
        <w:t>, ECLI</w:t>
      </w:r>
      <w:proofErr w:type="gramStart"/>
      <w:r w:rsidRPr="00D82148">
        <w:rPr>
          <w:lang w:val="en-GB"/>
        </w:rPr>
        <w:t>:EU:C:2013:813</w:t>
      </w:r>
      <w:proofErr w:type="gramEnd"/>
      <w:r w:rsidRPr="00D82148">
        <w:rPr>
          <w:lang w:val="en-GB"/>
        </w:rPr>
        <w:t xml:space="preserve">), </w:t>
      </w:r>
      <w:proofErr w:type="spellStart"/>
      <w:r w:rsidRPr="00D82148">
        <w:rPr>
          <w:i/>
          <w:lang w:val="en-GB"/>
        </w:rPr>
        <w:t>Tarakhel</w:t>
      </w:r>
      <w:proofErr w:type="spellEnd"/>
      <w:r w:rsidRPr="00D82148">
        <w:rPr>
          <w:lang w:val="en-GB"/>
        </w:rPr>
        <w:t xml:space="preserve"> (</w:t>
      </w:r>
      <w:proofErr w:type="spellStart"/>
      <w:r w:rsidRPr="00D82148">
        <w:rPr>
          <w:i/>
          <w:lang w:val="en-GB"/>
        </w:rPr>
        <w:t>Tarakhel</w:t>
      </w:r>
      <w:proofErr w:type="spellEnd"/>
      <w:r w:rsidRPr="00D82148">
        <w:rPr>
          <w:i/>
          <w:lang w:val="en-GB"/>
        </w:rPr>
        <w:t xml:space="preserve"> v. Switzerland</w:t>
      </w:r>
      <w:r w:rsidRPr="00D82148">
        <w:rPr>
          <w:lang w:val="en-GB"/>
        </w:rPr>
        <w:t>, Application no. 29217/12 (</w:t>
      </w:r>
      <w:proofErr w:type="spellStart"/>
      <w:r w:rsidRPr="00D82148">
        <w:rPr>
          <w:lang w:val="en-GB"/>
        </w:rPr>
        <w:t>E</w:t>
      </w:r>
      <w:r>
        <w:rPr>
          <w:lang w:val="en-GB"/>
        </w:rPr>
        <w:t>C</w:t>
      </w:r>
      <w:r w:rsidRPr="00D82148">
        <w:rPr>
          <w:lang w:val="en-GB"/>
        </w:rPr>
        <w:t>tHR</w:t>
      </w:r>
      <w:proofErr w:type="spellEnd"/>
      <w:r w:rsidRPr="00D82148">
        <w:rPr>
          <w:lang w:val="en-GB"/>
        </w:rPr>
        <w:t xml:space="preserve">, 4 November 2014)) and </w:t>
      </w:r>
      <w:r w:rsidRPr="00D82148">
        <w:rPr>
          <w:i/>
          <w:lang w:val="en-GB"/>
        </w:rPr>
        <w:t>C.K. v Slovenia</w:t>
      </w:r>
      <w:r w:rsidRPr="00D82148">
        <w:rPr>
          <w:lang w:val="en-GB"/>
        </w:rPr>
        <w:t xml:space="preserve"> (Case C-578/16 PPU, </w:t>
      </w:r>
      <w:r w:rsidRPr="00D82148">
        <w:rPr>
          <w:i/>
          <w:lang w:val="en-GB"/>
        </w:rPr>
        <w:t>C.K. v Slovenia</w:t>
      </w:r>
      <w:r w:rsidRPr="00D82148">
        <w:rPr>
          <w:lang w:val="en-GB"/>
        </w:rPr>
        <w:t xml:space="preserve">, ECLI:EU:C:2017:127). </w:t>
      </w:r>
    </w:p>
  </w:footnote>
  <w:footnote w:id="32">
    <w:p w14:paraId="49D62AB6" w14:textId="77777777" w:rsidR="003650E9" w:rsidRPr="00D82148" w:rsidRDefault="003650E9" w:rsidP="00BB3463">
      <w:pPr>
        <w:pStyle w:val="FootnoteText"/>
        <w:rPr>
          <w:lang w:val="en-GB"/>
        </w:rPr>
      </w:pPr>
      <w:r w:rsidRPr="00D82148">
        <w:rPr>
          <w:rStyle w:val="FootnoteReference"/>
          <w:lang w:val="en-GB"/>
        </w:rPr>
        <w:footnoteRef/>
      </w:r>
      <w:r w:rsidRPr="00D82148">
        <w:rPr>
          <w:lang w:val="en-GB"/>
        </w:rPr>
        <w:t xml:space="preserve"> See the Commission Recommendations </w:t>
      </w:r>
      <w:r>
        <w:rPr>
          <w:lang w:val="en-GB"/>
        </w:rPr>
        <w:t xml:space="preserve">of </w:t>
      </w:r>
      <w:r w:rsidRPr="00D82148">
        <w:rPr>
          <w:lang w:val="en-GB"/>
        </w:rPr>
        <w:t xml:space="preserve">10 February 2016 (Commission Recommendation of 10 February 2016 addressed to the Hellenic Republic on the urgent measures to be taken by Greece in view of the resumption of transfers under Regulation (EU) No 604/2013 — </w:t>
      </w:r>
      <w:proofErr w:type="gramStart"/>
      <w:r w:rsidRPr="00D82148">
        <w:rPr>
          <w:lang w:val="en-GB"/>
        </w:rPr>
        <w:t>C(</w:t>
      </w:r>
      <w:proofErr w:type="gramEnd"/>
      <w:r w:rsidRPr="00D82148">
        <w:rPr>
          <w:lang w:val="en-GB"/>
        </w:rPr>
        <w:t xml:space="preserve">2016) 871 final), 15 June 2016 (Commission Recommendation of 15 June 2016 addressed to the Hellenic Republic on the specific urgent measures to be taken by Greece in view of the resumption of transfers under Regulation (EU) No 604/2013 — C(2016) 3805 final)and 8 December 2016 (Commission Recommendation of 8.12. 2016. addressed to the Member States on the resumption of transfers to Greece under Regulation (EU) No. 604/2013, December 8, 2016, C(2016) 8525 final). </w:t>
      </w:r>
    </w:p>
  </w:footnote>
  <w:footnote w:id="33">
    <w:p w14:paraId="38317763"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48 in </w:t>
      </w:r>
      <w:proofErr w:type="spellStart"/>
      <w:r w:rsidRPr="001F49DD">
        <w:rPr>
          <w:i/>
          <w:lang w:val="sv-SE"/>
        </w:rPr>
        <w:t>Jafari</w:t>
      </w:r>
      <w:proofErr w:type="spellEnd"/>
      <w:r w:rsidRPr="001F49DD">
        <w:rPr>
          <w:lang w:val="sv-SE"/>
        </w:rPr>
        <w:t xml:space="preserve">; para. 37 in </w:t>
      </w:r>
      <w:r w:rsidRPr="001F49DD">
        <w:rPr>
          <w:i/>
          <w:lang w:val="sv-SE"/>
        </w:rPr>
        <w:t>A.S.</w:t>
      </w:r>
      <w:r w:rsidRPr="001F49DD">
        <w:rPr>
          <w:lang w:val="sv-SE"/>
        </w:rPr>
        <w:t xml:space="preserve"> </w:t>
      </w:r>
    </w:p>
  </w:footnote>
  <w:footnote w:id="34">
    <w:p w14:paraId="5CBDE0B0"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54 in </w:t>
      </w:r>
      <w:proofErr w:type="spellStart"/>
      <w:r w:rsidRPr="001F49DD">
        <w:rPr>
          <w:i/>
          <w:lang w:val="sv-SE"/>
        </w:rPr>
        <w:t>Jafari</w:t>
      </w:r>
      <w:proofErr w:type="spellEnd"/>
      <w:r w:rsidRPr="001F49DD">
        <w:rPr>
          <w:lang w:val="sv-SE"/>
        </w:rPr>
        <w:t xml:space="preserve">; para. 37 in </w:t>
      </w:r>
      <w:r w:rsidRPr="001F49DD">
        <w:rPr>
          <w:i/>
          <w:lang w:val="sv-SE"/>
        </w:rPr>
        <w:t>A.S</w:t>
      </w:r>
      <w:r w:rsidRPr="001F49DD">
        <w:rPr>
          <w:lang w:val="sv-SE"/>
        </w:rPr>
        <w:t>.</w:t>
      </w:r>
    </w:p>
  </w:footnote>
  <w:footnote w:id="35">
    <w:p w14:paraId="7B61A3F7"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58 in </w:t>
      </w:r>
      <w:proofErr w:type="spellStart"/>
      <w:r w:rsidRPr="001F49DD">
        <w:rPr>
          <w:i/>
          <w:lang w:val="sv-SE"/>
        </w:rPr>
        <w:t>Jafari</w:t>
      </w:r>
      <w:proofErr w:type="spellEnd"/>
      <w:r w:rsidRPr="001F49DD">
        <w:rPr>
          <w:lang w:val="sv-SE"/>
        </w:rPr>
        <w:t xml:space="preserve">; para. 37 in </w:t>
      </w:r>
      <w:r w:rsidRPr="001F49DD">
        <w:rPr>
          <w:i/>
          <w:lang w:val="sv-SE"/>
        </w:rPr>
        <w:t>A.S.</w:t>
      </w:r>
      <w:r w:rsidRPr="001F49DD">
        <w:rPr>
          <w:lang w:val="sv-SE"/>
        </w:rPr>
        <w:t xml:space="preserve"> </w:t>
      </w:r>
    </w:p>
  </w:footnote>
  <w:footnote w:id="36">
    <w:p w14:paraId="6BDC2760"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Paras. 61 and 72 in </w:t>
      </w:r>
      <w:proofErr w:type="spellStart"/>
      <w:r w:rsidRPr="001F49DD">
        <w:rPr>
          <w:i/>
          <w:lang w:val="sv-SE"/>
        </w:rPr>
        <w:t>Jafari</w:t>
      </w:r>
      <w:proofErr w:type="spellEnd"/>
      <w:r w:rsidRPr="001F49DD">
        <w:rPr>
          <w:lang w:val="sv-SE"/>
        </w:rPr>
        <w:t xml:space="preserve">; para. 38 in </w:t>
      </w:r>
      <w:r w:rsidRPr="001F49DD">
        <w:rPr>
          <w:i/>
          <w:lang w:val="sv-SE"/>
        </w:rPr>
        <w:t>A.S.</w:t>
      </w:r>
    </w:p>
  </w:footnote>
  <w:footnote w:id="37">
    <w:p w14:paraId="77DF7666"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Paras. 74 and 75 in </w:t>
      </w:r>
      <w:proofErr w:type="spellStart"/>
      <w:r w:rsidRPr="001F49DD">
        <w:rPr>
          <w:i/>
          <w:lang w:val="sv-SE"/>
        </w:rPr>
        <w:t>Jafari</w:t>
      </w:r>
      <w:proofErr w:type="spellEnd"/>
      <w:r w:rsidRPr="001F49DD">
        <w:rPr>
          <w:lang w:val="sv-SE"/>
        </w:rPr>
        <w:t xml:space="preserve">. </w:t>
      </w:r>
    </w:p>
  </w:footnote>
  <w:footnote w:id="38">
    <w:p w14:paraId="52CE0FE1"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80 in </w:t>
      </w:r>
      <w:proofErr w:type="spellStart"/>
      <w:r w:rsidRPr="001F49DD">
        <w:rPr>
          <w:i/>
          <w:lang w:val="sv-SE"/>
        </w:rPr>
        <w:t>Jafari</w:t>
      </w:r>
      <w:proofErr w:type="spellEnd"/>
      <w:r w:rsidRPr="001F49DD">
        <w:rPr>
          <w:lang w:val="sv-SE"/>
        </w:rPr>
        <w:t xml:space="preserve">. </w:t>
      </w:r>
    </w:p>
  </w:footnote>
  <w:footnote w:id="39">
    <w:p w14:paraId="46440913"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82 in </w:t>
      </w:r>
      <w:proofErr w:type="spellStart"/>
      <w:r w:rsidRPr="001F49DD">
        <w:rPr>
          <w:i/>
          <w:lang w:val="sv-SE"/>
        </w:rPr>
        <w:t>Jafari</w:t>
      </w:r>
      <w:proofErr w:type="spellEnd"/>
      <w:r w:rsidRPr="001F49DD">
        <w:rPr>
          <w:lang w:val="sv-SE"/>
        </w:rPr>
        <w:t xml:space="preserve">. </w:t>
      </w:r>
    </w:p>
  </w:footnote>
  <w:footnote w:id="40">
    <w:p w14:paraId="3B1CEBAE"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92 in </w:t>
      </w:r>
      <w:proofErr w:type="spellStart"/>
      <w:r w:rsidRPr="001F49DD">
        <w:rPr>
          <w:i/>
          <w:lang w:val="sv-SE"/>
        </w:rPr>
        <w:t>Jafari</w:t>
      </w:r>
      <w:proofErr w:type="spellEnd"/>
      <w:r w:rsidRPr="001F49DD">
        <w:rPr>
          <w:lang w:val="sv-SE"/>
        </w:rPr>
        <w:t xml:space="preserve">. </w:t>
      </w:r>
    </w:p>
  </w:footnote>
  <w:footnote w:id="41">
    <w:p w14:paraId="5F8A3A84"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93 in </w:t>
      </w:r>
      <w:proofErr w:type="spellStart"/>
      <w:r w:rsidRPr="001F49DD">
        <w:rPr>
          <w:i/>
          <w:lang w:val="sv-SE"/>
        </w:rPr>
        <w:t>Jafari</w:t>
      </w:r>
      <w:proofErr w:type="spellEnd"/>
      <w:r w:rsidRPr="001F49DD">
        <w:rPr>
          <w:lang w:val="sv-SE"/>
        </w:rPr>
        <w:t xml:space="preserve">. </w:t>
      </w:r>
    </w:p>
  </w:footnote>
  <w:footnote w:id="42">
    <w:p w14:paraId="54F3BEA8"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101 in </w:t>
      </w:r>
      <w:proofErr w:type="spellStart"/>
      <w:r w:rsidRPr="001F49DD">
        <w:rPr>
          <w:i/>
          <w:lang w:val="sv-SE"/>
        </w:rPr>
        <w:t>Jafari</w:t>
      </w:r>
      <w:proofErr w:type="spellEnd"/>
      <w:r w:rsidRPr="001F49DD">
        <w:rPr>
          <w:lang w:val="sv-SE"/>
        </w:rPr>
        <w:t xml:space="preserve">. </w:t>
      </w:r>
    </w:p>
  </w:footnote>
  <w:footnote w:id="43">
    <w:p w14:paraId="25E611AB"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62 in </w:t>
      </w:r>
      <w:proofErr w:type="spellStart"/>
      <w:r w:rsidRPr="001F49DD">
        <w:rPr>
          <w:i/>
          <w:lang w:val="sv-SE"/>
        </w:rPr>
        <w:t>Mengesteab</w:t>
      </w:r>
      <w:proofErr w:type="spellEnd"/>
      <w:r w:rsidRPr="001F49DD">
        <w:rPr>
          <w:lang w:val="sv-SE"/>
        </w:rPr>
        <w:t>.</w:t>
      </w:r>
    </w:p>
  </w:footnote>
  <w:footnote w:id="44">
    <w:p w14:paraId="06409069"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74 in </w:t>
      </w:r>
      <w:proofErr w:type="spellStart"/>
      <w:r w:rsidRPr="001F49DD">
        <w:rPr>
          <w:i/>
          <w:lang w:val="sv-SE"/>
        </w:rPr>
        <w:t>Mengesteab</w:t>
      </w:r>
      <w:proofErr w:type="spellEnd"/>
      <w:r w:rsidRPr="001F49DD">
        <w:rPr>
          <w:lang w:val="sv-SE"/>
        </w:rPr>
        <w:t xml:space="preserve">. </w:t>
      </w:r>
    </w:p>
  </w:footnote>
  <w:footnote w:id="45">
    <w:p w14:paraId="75F0C3F7"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103 in </w:t>
      </w:r>
      <w:proofErr w:type="spellStart"/>
      <w:r w:rsidRPr="001F49DD">
        <w:rPr>
          <w:i/>
          <w:lang w:val="sv-SE"/>
        </w:rPr>
        <w:t>Mengesteab</w:t>
      </w:r>
      <w:proofErr w:type="spellEnd"/>
      <w:r w:rsidRPr="001F49DD">
        <w:rPr>
          <w:lang w:val="sv-SE"/>
        </w:rPr>
        <w:t xml:space="preserve">. </w:t>
      </w:r>
    </w:p>
  </w:footnote>
  <w:footnote w:id="46">
    <w:p w14:paraId="309AC0EF"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Paras. 74-75. in </w:t>
      </w:r>
      <w:proofErr w:type="spellStart"/>
      <w:r w:rsidRPr="001F49DD">
        <w:rPr>
          <w:i/>
          <w:lang w:val="sv-SE"/>
        </w:rPr>
        <w:t>Jafari</w:t>
      </w:r>
      <w:proofErr w:type="spellEnd"/>
      <w:r w:rsidRPr="001F49DD">
        <w:rPr>
          <w:lang w:val="sv-SE"/>
        </w:rPr>
        <w:t xml:space="preserve">. </w:t>
      </w:r>
    </w:p>
  </w:footnote>
  <w:footnote w:id="47">
    <w:p w14:paraId="3BE8615F" w14:textId="77777777" w:rsidR="003650E9" w:rsidRPr="00D82148" w:rsidRDefault="003650E9" w:rsidP="00975C18">
      <w:pPr>
        <w:pStyle w:val="FootnoteText"/>
        <w:rPr>
          <w:lang w:val="en-GB"/>
        </w:rPr>
      </w:pPr>
      <w:r w:rsidRPr="00D82148">
        <w:rPr>
          <w:rStyle w:val="FootnoteReference"/>
          <w:lang w:val="en-GB"/>
        </w:rPr>
        <w:footnoteRef/>
      </w:r>
      <w:r w:rsidRPr="00D82148">
        <w:rPr>
          <w:lang w:val="en-GB"/>
        </w:rPr>
        <w:t xml:space="preserve"> Para. </w:t>
      </w:r>
      <w:proofErr w:type="gramStart"/>
      <w:r w:rsidRPr="00D82148">
        <w:rPr>
          <w:lang w:val="en-GB"/>
        </w:rPr>
        <w:t xml:space="preserve">74 in AG </w:t>
      </w:r>
      <w:proofErr w:type="spellStart"/>
      <w:r w:rsidRPr="00D82148">
        <w:rPr>
          <w:lang w:val="en-GB"/>
        </w:rPr>
        <w:t>Villalón's</w:t>
      </w:r>
      <w:proofErr w:type="spellEnd"/>
      <w:r w:rsidRPr="00D82148">
        <w:rPr>
          <w:lang w:val="en-GB"/>
        </w:rPr>
        <w:t xml:space="preserve"> Opinion in </w:t>
      </w:r>
      <w:proofErr w:type="spellStart"/>
      <w:r w:rsidRPr="00D82148">
        <w:rPr>
          <w:i/>
          <w:lang w:val="en-GB"/>
        </w:rPr>
        <w:t>Abdullahi</w:t>
      </w:r>
      <w:proofErr w:type="spellEnd"/>
      <w:r w:rsidRPr="00D82148">
        <w:rPr>
          <w:lang w:val="en-GB"/>
        </w:rPr>
        <w:t>.</w:t>
      </w:r>
      <w:proofErr w:type="gramEnd"/>
      <w:r w:rsidRPr="00D82148">
        <w:rPr>
          <w:lang w:val="en-GB"/>
        </w:rPr>
        <w:t xml:space="preserve"> </w:t>
      </w:r>
    </w:p>
  </w:footnote>
  <w:footnote w:id="48">
    <w:p w14:paraId="5CEC5D77" w14:textId="77777777" w:rsidR="003650E9" w:rsidRPr="00D82148" w:rsidRDefault="003650E9" w:rsidP="00975C18">
      <w:pPr>
        <w:pStyle w:val="FootnoteText"/>
        <w:rPr>
          <w:lang w:val="en-GB"/>
        </w:rPr>
      </w:pPr>
      <w:r w:rsidRPr="00D82148">
        <w:rPr>
          <w:rStyle w:val="FootnoteReference"/>
          <w:lang w:val="en-GB"/>
        </w:rPr>
        <w:footnoteRef/>
      </w:r>
      <w:r w:rsidRPr="00D82148">
        <w:rPr>
          <w:lang w:val="en-GB"/>
        </w:rPr>
        <w:t xml:space="preserve"> Art. </w:t>
      </w:r>
      <w:proofErr w:type="gramStart"/>
      <w:r w:rsidRPr="00D82148">
        <w:rPr>
          <w:lang w:val="en-GB"/>
        </w:rPr>
        <w:t>14(1) of the Dublin Regulation.</w:t>
      </w:r>
      <w:proofErr w:type="gramEnd"/>
    </w:p>
  </w:footnote>
  <w:footnote w:id="49">
    <w:p w14:paraId="72CA83E8" w14:textId="77777777" w:rsidR="003650E9" w:rsidRPr="00D82148" w:rsidRDefault="003650E9" w:rsidP="00975C18">
      <w:pPr>
        <w:pStyle w:val="FootnoteText"/>
        <w:rPr>
          <w:lang w:val="en-GB"/>
        </w:rPr>
      </w:pPr>
      <w:r w:rsidRPr="00D82148">
        <w:rPr>
          <w:rStyle w:val="FootnoteReference"/>
          <w:lang w:val="en-GB"/>
        </w:rPr>
        <w:footnoteRef/>
      </w:r>
      <w:r w:rsidRPr="00D82148">
        <w:rPr>
          <w:lang w:val="en-GB"/>
        </w:rPr>
        <w:t xml:space="preserve"> Art. </w:t>
      </w:r>
      <w:proofErr w:type="gramStart"/>
      <w:r w:rsidRPr="00D82148">
        <w:rPr>
          <w:lang w:val="en-GB"/>
        </w:rPr>
        <w:t>15 of the Dublin Regulation.</w:t>
      </w:r>
      <w:proofErr w:type="gramEnd"/>
      <w:r w:rsidRPr="00D82148">
        <w:rPr>
          <w:lang w:val="en-GB"/>
        </w:rPr>
        <w:t xml:space="preserve"> </w:t>
      </w:r>
    </w:p>
  </w:footnote>
  <w:footnote w:id="50">
    <w:p w14:paraId="5E3347C7" w14:textId="77777777" w:rsidR="003650E9" w:rsidRPr="00D82148" w:rsidRDefault="003650E9" w:rsidP="00975C18">
      <w:pPr>
        <w:pStyle w:val="FootnoteText"/>
        <w:rPr>
          <w:lang w:val="en-GB"/>
        </w:rPr>
      </w:pPr>
      <w:r w:rsidRPr="00D82148">
        <w:rPr>
          <w:rStyle w:val="FootnoteReference"/>
          <w:lang w:val="en-GB"/>
        </w:rPr>
        <w:footnoteRef/>
      </w:r>
      <w:r w:rsidRPr="00D82148">
        <w:rPr>
          <w:lang w:val="en-GB"/>
        </w:rPr>
        <w:t xml:space="preserve"> Art. </w:t>
      </w:r>
      <w:proofErr w:type="gramStart"/>
      <w:r w:rsidRPr="00D82148">
        <w:rPr>
          <w:lang w:val="en-GB"/>
        </w:rPr>
        <w:t>3(2) of the Dublin Regulation.</w:t>
      </w:r>
      <w:proofErr w:type="gramEnd"/>
      <w:r w:rsidRPr="00D82148">
        <w:rPr>
          <w:lang w:val="en-GB"/>
        </w:rPr>
        <w:t xml:space="preserve"> </w:t>
      </w:r>
    </w:p>
  </w:footnote>
  <w:footnote w:id="51">
    <w:p w14:paraId="705577BB" w14:textId="77777777" w:rsidR="003650E9" w:rsidRPr="00D82148" w:rsidRDefault="003650E9" w:rsidP="00975C18">
      <w:pPr>
        <w:pStyle w:val="FootnoteText"/>
        <w:rPr>
          <w:lang w:val="en-GB"/>
        </w:rPr>
      </w:pPr>
      <w:r w:rsidRPr="00D82148">
        <w:rPr>
          <w:rStyle w:val="FootnoteReference"/>
          <w:lang w:val="en-GB"/>
        </w:rPr>
        <w:footnoteRef/>
      </w:r>
      <w:r w:rsidRPr="00D82148">
        <w:rPr>
          <w:lang w:val="en-GB"/>
        </w:rPr>
        <w:t xml:space="preserve"> Para. </w:t>
      </w:r>
      <w:proofErr w:type="gramStart"/>
      <w:r w:rsidRPr="00D82148">
        <w:rPr>
          <w:lang w:val="en-GB"/>
        </w:rPr>
        <w:t xml:space="preserve">107 in </w:t>
      </w:r>
      <w:r w:rsidRPr="00D82148">
        <w:rPr>
          <w:i/>
          <w:lang w:val="en-GB"/>
        </w:rPr>
        <w:t>N.S</w:t>
      </w:r>
      <w:r w:rsidRPr="00D82148">
        <w:rPr>
          <w:lang w:val="en-GB"/>
        </w:rPr>
        <w:t>.</w:t>
      </w:r>
      <w:proofErr w:type="gramEnd"/>
      <w:r w:rsidRPr="00D82148">
        <w:rPr>
          <w:lang w:val="en-GB"/>
        </w:rPr>
        <w:t xml:space="preserve"> </w:t>
      </w:r>
    </w:p>
  </w:footnote>
  <w:footnote w:id="52">
    <w:p w14:paraId="19DF23FE" w14:textId="77777777" w:rsidR="003650E9" w:rsidRPr="00D82148" w:rsidRDefault="003650E9" w:rsidP="00FC0D99">
      <w:pPr>
        <w:pStyle w:val="FootnoteText"/>
        <w:rPr>
          <w:lang w:val="en-GB"/>
        </w:rPr>
      </w:pPr>
      <w:r w:rsidRPr="00D82148">
        <w:rPr>
          <w:rStyle w:val="FootnoteReference"/>
          <w:lang w:val="en-GB"/>
        </w:rPr>
        <w:footnoteRef/>
      </w:r>
      <w:r w:rsidRPr="00D82148">
        <w:rPr>
          <w:lang w:val="en-GB"/>
        </w:rPr>
        <w:t xml:space="preserve"> Opinion of AG </w:t>
      </w:r>
      <w:proofErr w:type="spellStart"/>
      <w:r w:rsidRPr="00D82148">
        <w:rPr>
          <w:lang w:val="en-GB"/>
        </w:rPr>
        <w:t>Sharpston</w:t>
      </w:r>
      <w:proofErr w:type="spellEnd"/>
      <w:r w:rsidRPr="00D82148">
        <w:rPr>
          <w:lang w:val="en-GB"/>
        </w:rPr>
        <w:t xml:space="preserve"> in C-490/16 </w:t>
      </w:r>
      <w:r w:rsidRPr="00D82148">
        <w:rPr>
          <w:i/>
          <w:lang w:val="en-GB"/>
        </w:rPr>
        <w:t>A.S. v Slovenia</w:t>
      </w:r>
      <w:r w:rsidRPr="00D82148">
        <w:rPr>
          <w:lang w:val="en-GB"/>
        </w:rPr>
        <w:t xml:space="preserve"> </w:t>
      </w:r>
      <w:r>
        <w:rPr>
          <w:lang w:val="en-GB"/>
        </w:rPr>
        <w:t xml:space="preserve">and </w:t>
      </w:r>
      <w:r w:rsidRPr="00D82148">
        <w:rPr>
          <w:lang w:val="en-GB"/>
        </w:rPr>
        <w:t xml:space="preserve">C-646/16 </w:t>
      </w:r>
      <w:proofErr w:type="spellStart"/>
      <w:r w:rsidRPr="00D82148">
        <w:rPr>
          <w:i/>
          <w:lang w:val="en-GB"/>
        </w:rPr>
        <w:t>Jafari</w:t>
      </w:r>
      <w:proofErr w:type="spellEnd"/>
      <w:r w:rsidRPr="00D82148">
        <w:rPr>
          <w:lang w:val="en-GB"/>
        </w:rPr>
        <w:t xml:space="preserve">, 8 June 2017, </w:t>
      </w:r>
      <w:r w:rsidRPr="00D82148">
        <w:rPr>
          <w:rStyle w:val="outputecli"/>
          <w:lang w:val="en-GB"/>
        </w:rPr>
        <w:t>ECLI</w:t>
      </w:r>
      <w:proofErr w:type="gramStart"/>
      <w:r w:rsidRPr="00D82148">
        <w:rPr>
          <w:rStyle w:val="outputecli"/>
          <w:lang w:val="en-GB"/>
        </w:rPr>
        <w:t>:EU:C:2017:443</w:t>
      </w:r>
      <w:proofErr w:type="gramEnd"/>
      <w:r w:rsidRPr="00D82148">
        <w:rPr>
          <w:rStyle w:val="outputecli"/>
          <w:lang w:val="en-GB"/>
        </w:rPr>
        <w:t xml:space="preserve">. </w:t>
      </w:r>
    </w:p>
  </w:footnote>
  <w:footnote w:id="53">
    <w:p w14:paraId="20747FD9"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Joined Cases C-643/15 and C-647/15 </w:t>
      </w:r>
      <w:r w:rsidRPr="00D82148">
        <w:rPr>
          <w:i/>
          <w:lang w:val="en-GB"/>
        </w:rPr>
        <w:t>Slovakia and Hungary v Council</w:t>
      </w:r>
      <w:r w:rsidRPr="00D82148">
        <w:rPr>
          <w:lang w:val="en-GB"/>
        </w:rPr>
        <w:t xml:space="preserve">. </w:t>
      </w:r>
    </w:p>
  </w:footnote>
  <w:footnote w:id="54">
    <w:p w14:paraId="305960A1"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Speech by Judge </w:t>
      </w:r>
      <w:proofErr w:type="spellStart"/>
      <w:r w:rsidRPr="00D82148">
        <w:rPr>
          <w:lang w:val="en-GB"/>
        </w:rPr>
        <w:t>Sinisa</w:t>
      </w:r>
      <w:proofErr w:type="spellEnd"/>
      <w:r w:rsidRPr="00D82148">
        <w:rPr>
          <w:lang w:val="en-GB"/>
        </w:rPr>
        <w:t xml:space="preserve"> Rodin organi</w:t>
      </w:r>
      <w:r>
        <w:rPr>
          <w:lang w:val="en-GB"/>
        </w:rPr>
        <w:t>s</w:t>
      </w:r>
      <w:r w:rsidRPr="00D82148">
        <w:rPr>
          <w:lang w:val="en-GB"/>
        </w:rPr>
        <w:t>ed by the UNESCO Chair on Free Movement of People, Migration and Inter-Cultural Dialogue at the Faculty of Law</w:t>
      </w:r>
      <w:r>
        <w:rPr>
          <w:lang w:val="en-GB"/>
        </w:rPr>
        <w:t>,</w:t>
      </w:r>
      <w:r w:rsidRPr="00D82148">
        <w:rPr>
          <w:lang w:val="en-GB"/>
        </w:rPr>
        <w:t xml:space="preserve"> University of Zagreb</w:t>
      </w:r>
      <w:r>
        <w:rPr>
          <w:lang w:val="en-GB"/>
        </w:rPr>
        <w:t>,</w:t>
      </w:r>
      <w:r w:rsidRPr="00D82148">
        <w:rPr>
          <w:lang w:val="en-GB"/>
        </w:rPr>
        <w:t xml:space="preserve"> on 31 October 2017. </w:t>
      </w:r>
    </w:p>
  </w:footnote>
  <w:footnote w:id="55">
    <w:p w14:paraId="6FDCCE30"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101 in </w:t>
      </w:r>
      <w:proofErr w:type="spellStart"/>
      <w:r w:rsidRPr="001F49DD">
        <w:rPr>
          <w:i/>
          <w:lang w:val="sv-SE"/>
        </w:rPr>
        <w:t>Jafari</w:t>
      </w:r>
      <w:proofErr w:type="spellEnd"/>
      <w:r w:rsidRPr="001F49DD">
        <w:rPr>
          <w:lang w:val="sv-SE"/>
        </w:rPr>
        <w:t xml:space="preserve">. </w:t>
      </w:r>
    </w:p>
  </w:footnote>
  <w:footnote w:id="56">
    <w:p w14:paraId="04DEEF24" w14:textId="77777777" w:rsidR="003650E9" w:rsidRPr="001F49DD" w:rsidRDefault="003650E9">
      <w:pPr>
        <w:pStyle w:val="FootnoteText"/>
        <w:rPr>
          <w:lang w:val="sv-SE"/>
        </w:rPr>
      </w:pPr>
      <w:r w:rsidRPr="00D82148">
        <w:rPr>
          <w:rStyle w:val="FootnoteReference"/>
          <w:lang w:val="en-GB"/>
        </w:rPr>
        <w:footnoteRef/>
      </w:r>
      <w:r w:rsidRPr="001F49DD">
        <w:rPr>
          <w:lang w:val="sv-SE"/>
        </w:rPr>
        <w:t xml:space="preserve"> Para. 101 in </w:t>
      </w:r>
      <w:proofErr w:type="spellStart"/>
      <w:r w:rsidRPr="001F49DD">
        <w:rPr>
          <w:i/>
          <w:lang w:val="sv-SE"/>
        </w:rPr>
        <w:t>Jafari</w:t>
      </w:r>
      <w:proofErr w:type="spellEnd"/>
      <w:r w:rsidRPr="001F49DD">
        <w:rPr>
          <w:lang w:val="sv-SE"/>
        </w:rPr>
        <w:t xml:space="preserve">. </w:t>
      </w:r>
    </w:p>
  </w:footnote>
  <w:footnote w:id="57">
    <w:p w14:paraId="7788FA89"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Eurostat asylum statistics available at: </w:t>
      </w:r>
      <w:hyperlink r:id="rId16" w:anchor="Main_statistical_findings" w:history="1">
        <w:r w:rsidRPr="00D82148">
          <w:rPr>
            <w:rStyle w:val="Hyperlink"/>
            <w:lang w:val="en-GB"/>
          </w:rPr>
          <w:t>http://ec.europa.eu/eurostat/statistics-explained/index.php/Asylum_statistics#Main_statistical_findings</w:t>
        </w:r>
      </w:hyperlink>
      <w:r w:rsidRPr="00D82148">
        <w:rPr>
          <w:lang w:val="en-GB"/>
        </w:rPr>
        <w:t xml:space="preserve"> (last accessed on 16 October 2017). </w:t>
      </w:r>
    </w:p>
  </w:footnote>
  <w:footnote w:id="58">
    <w:p w14:paraId="5D005E64" w14:textId="77777777" w:rsidR="003650E9" w:rsidRPr="00D82148" w:rsidRDefault="003650E9" w:rsidP="00D43B96">
      <w:pPr>
        <w:pStyle w:val="FootnoteText"/>
        <w:rPr>
          <w:lang w:val="en-GB"/>
        </w:rPr>
      </w:pPr>
      <w:r w:rsidRPr="00D82148">
        <w:rPr>
          <w:rStyle w:val="FootnoteReference"/>
          <w:lang w:val="en-GB"/>
        </w:rPr>
        <w:footnoteRef/>
      </w:r>
      <w:r w:rsidRPr="00D82148">
        <w:rPr>
          <w:lang w:val="en-GB"/>
        </w:rPr>
        <w:t xml:space="preserve"> Eurostat asylum statistics available at: </w:t>
      </w:r>
      <w:hyperlink r:id="rId17" w:anchor="Main_statistical_findings" w:history="1">
        <w:r w:rsidRPr="00D82148">
          <w:rPr>
            <w:rStyle w:val="Hyperlink"/>
            <w:lang w:val="en-GB"/>
          </w:rPr>
          <w:t>http://ec.europa.eu/eurostat/statistics-explained/index.php/Asylum_statistics#Main_statistical_findings</w:t>
        </w:r>
      </w:hyperlink>
      <w:r w:rsidRPr="00D82148">
        <w:rPr>
          <w:lang w:val="en-GB"/>
        </w:rPr>
        <w:t xml:space="preserve"> (last accessed on 16 October 2017).</w:t>
      </w:r>
    </w:p>
  </w:footnote>
  <w:footnote w:id="59">
    <w:p w14:paraId="72320FA5" w14:textId="77777777" w:rsidR="003650E9" w:rsidRPr="00D82148" w:rsidRDefault="003650E9" w:rsidP="0059230C">
      <w:pPr>
        <w:pStyle w:val="FootnoteText"/>
        <w:rPr>
          <w:lang w:val="en-GB"/>
        </w:rPr>
      </w:pPr>
      <w:r w:rsidRPr="00D82148">
        <w:rPr>
          <w:rStyle w:val="FootnoteReference"/>
          <w:lang w:val="en-GB"/>
        </w:rPr>
        <w:footnoteRef/>
      </w:r>
      <w:r w:rsidRPr="00D82148">
        <w:rPr>
          <w:lang w:val="en-GB"/>
        </w:rPr>
        <w:t xml:space="preserve"> Eurostat Dublin statistics on countries responsible for asylum application, available at: </w:t>
      </w:r>
      <w:hyperlink r:id="rId18" w:anchor="Incoming_Dublin_requests" w:history="1">
        <w:r w:rsidRPr="00D82148">
          <w:rPr>
            <w:rStyle w:val="Hyperlink"/>
            <w:lang w:val="en-GB"/>
          </w:rPr>
          <w:t>http://ec.europa.eu/eurostat/statistics-explained/index.php/Dublin_statistics_on_countries_responsible_for_asylum_application#Incoming_Dublin_requests</w:t>
        </w:r>
      </w:hyperlink>
      <w:r w:rsidRPr="00D82148">
        <w:rPr>
          <w:lang w:val="en-GB"/>
        </w:rPr>
        <w:t xml:space="preserve"> (last accessed on 16 October 2017). </w:t>
      </w:r>
    </w:p>
  </w:footnote>
  <w:footnote w:id="60">
    <w:p w14:paraId="058F2DAC"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AIDA Country Report: Croatia, 2016 Update, p. 31, available at: </w:t>
      </w:r>
      <w:hyperlink r:id="rId19" w:history="1">
        <w:r w:rsidRPr="00D82148">
          <w:rPr>
            <w:rStyle w:val="Hyperlink"/>
            <w:lang w:val="en-GB"/>
          </w:rPr>
          <w:t>http://www.asylumineurope.org/sites/default/files/report-download/aida_hr_2016update.pdf</w:t>
        </w:r>
      </w:hyperlink>
      <w:r w:rsidRPr="00D82148">
        <w:rPr>
          <w:lang w:val="en-GB"/>
        </w:rPr>
        <w:t xml:space="preserve"> (last accessed on 16 October 2017). </w:t>
      </w:r>
    </w:p>
  </w:footnote>
  <w:footnote w:id="61">
    <w:p w14:paraId="60D7D55B"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Case C-578/16 PPU </w:t>
      </w:r>
      <w:r w:rsidRPr="00D82148">
        <w:rPr>
          <w:i/>
          <w:lang w:val="en-GB"/>
        </w:rPr>
        <w:t>C.K. v Slovenia</w:t>
      </w:r>
      <w:r w:rsidRPr="00D82148">
        <w:rPr>
          <w:lang w:val="en-GB"/>
        </w:rPr>
        <w:t>, 16 February 2017, ECLI</w:t>
      </w:r>
      <w:proofErr w:type="gramStart"/>
      <w:r w:rsidRPr="00D82148">
        <w:rPr>
          <w:lang w:val="en-GB"/>
        </w:rPr>
        <w:t>:EU:C:2017:127</w:t>
      </w:r>
      <w:proofErr w:type="gramEnd"/>
      <w:r w:rsidRPr="00D82148">
        <w:rPr>
          <w:lang w:val="en-GB"/>
        </w:rPr>
        <w:t xml:space="preserve">. </w:t>
      </w:r>
    </w:p>
  </w:footnote>
  <w:footnote w:id="62">
    <w:p w14:paraId="5320F4E6" w14:textId="77777777" w:rsidR="003650E9" w:rsidRPr="00D82148" w:rsidRDefault="003650E9" w:rsidP="00096954">
      <w:pPr>
        <w:pStyle w:val="FootnoteText"/>
        <w:rPr>
          <w:lang w:val="en-GB"/>
        </w:rPr>
      </w:pPr>
      <w:r w:rsidRPr="00D82148">
        <w:rPr>
          <w:rStyle w:val="FootnoteReference"/>
          <w:lang w:val="en-GB"/>
        </w:rPr>
        <w:footnoteRef/>
      </w:r>
      <w:r w:rsidRPr="00D82148">
        <w:rPr>
          <w:lang w:val="en-GB"/>
        </w:rPr>
        <w:t xml:space="preserve"> AIDA Country Report: Croatia, 2016 Update, pp. 41-44, available at: </w:t>
      </w:r>
      <w:hyperlink r:id="rId20" w:history="1">
        <w:r w:rsidRPr="00D82148">
          <w:rPr>
            <w:rStyle w:val="Hyperlink"/>
            <w:lang w:val="en-GB"/>
          </w:rPr>
          <w:t>http://www.asylumineurope.org/sites/default/files/report-download/aida_hr_2016update.pdf</w:t>
        </w:r>
      </w:hyperlink>
      <w:r w:rsidRPr="00D82148">
        <w:rPr>
          <w:lang w:val="en-GB"/>
        </w:rPr>
        <w:t xml:space="preserve"> (last accessed on 16 October 2017).</w:t>
      </w:r>
    </w:p>
  </w:footnote>
  <w:footnote w:id="63">
    <w:p w14:paraId="32600A86" w14:textId="77777777" w:rsidR="003650E9" w:rsidRPr="00D82148" w:rsidRDefault="003650E9" w:rsidP="00096954">
      <w:pPr>
        <w:pStyle w:val="FootnoteText"/>
        <w:rPr>
          <w:lang w:val="en-GB"/>
        </w:rPr>
      </w:pPr>
      <w:r w:rsidRPr="00D82148">
        <w:rPr>
          <w:rStyle w:val="FootnoteReference"/>
          <w:lang w:val="en-GB"/>
        </w:rPr>
        <w:footnoteRef/>
      </w:r>
      <w:r w:rsidRPr="00D82148">
        <w:rPr>
          <w:lang w:val="en-GB"/>
        </w:rPr>
        <w:t xml:space="preserve"> AIDA Country Report: Croatia, 2016 Update, p. 44, available at: </w:t>
      </w:r>
      <w:hyperlink r:id="rId21" w:history="1">
        <w:r w:rsidRPr="00D82148">
          <w:rPr>
            <w:rStyle w:val="Hyperlink"/>
            <w:lang w:val="en-GB"/>
          </w:rPr>
          <w:t>http://www.asylumineurope.org/sites/default/files/report-download/aida_hr_2016update.pdf</w:t>
        </w:r>
      </w:hyperlink>
      <w:r w:rsidRPr="00D82148">
        <w:rPr>
          <w:lang w:val="en-GB"/>
        </w:rPr>
        <w:t xml:space="preserve"> (last accessed on 16 October 2017). </w:t>
      </w:r>
    </w:p>
  </w:footnote>
  <w:footnote w:id="64">
    <w:p w14:paraId="298090E5" w14:textId="77777777" w:rsidR="003650E9" w:rsidRPr="00D82148" w:rsidRDefault="003650E9" w:rsidP="006F429F">
      <w:pPr>
        <w:pStyle w:val="FootnoteText"/>
        <w:rPr>
          <w:lang w:val="en-GB"/>
        </w:rPr>
      </w:pPr>
      <w:r w:rsidRPr="00D82148">
        <w:rPr>
          <w:rStyle w:val="FootnoteReference"/>
          <w:lang w:val="en-GB"/>
        </w:rPr>
        <w:footnoteRef/>
      </w:r>
      <w:r w:rsidRPr="00D82148">
        <w:rPr>
          <w:lang w:val="en-GB"/>
        </w:rPr>
        <w:t xml:space="preserve"> AIDA Country Report: Croatia, 2016 Update, p. 21, available at: </w:t>
      </w:r>
      <w:hyperlink r:id="rId22" w:history="1">
        <w:r w:rsidRPr="00D82148">
          <w:rPr>
            <w:rStyle w:val="Hyperlink"/>
            <w:lang w:val="en-GB"/>
          </w:rPr>
          <w:t>http://www.asylumineurope.org/sites/default/files/report-download/aida_hr_2016update.pdf</w:t>
        </w:r>
      </w:hyperlink>
      <w:r w:rsidRPr="00D82148">
        <w:rPr>
          <w:lang w:val="en-GB"/>
        </w:rPr>
        <w:t xml:space="preserve"> (last accessed on 16 October 2017).</w:t>
      </w:r>
    </w:p>
  </w:footnote>
  <w:footnote w:id="65">
    <w:p w14:paraId="44436F57" w14:textId="77777777" w:rsidR="003650E9" w:rsidRPr="00D82148" w:rsidRDefault="003650E9" w:rsidP="006F429F">
      <w:pPr>
        <w:pStyle w:val="FootnoteText"/>
        <w:rPr>
          <w:lang w:val="en-GB"/>
        </w:rPr>
      </w:pPr>
      <w:r w:rsidRPr="00D82148">
        <w:rPr>
          <w:rStyle w:val="FootnoteReference"/>
          <w:lang w:val="en-GB"/>
        </w:rPr>
        <w:footnoteRef/>
      </w:r>
      <w:r w:rsidRPr="00D82148">
        <w:rPr>
          <w:lang w:val="en-GB"/>
        </w:rPr>
        <w:t xml:space="preserve"> </w:t>
      </w:r>
      <w:r>
        <w:rPr>
          <w:lang w:val="en-GB"/>
        </w:rPr>
        <w:t xml:space="preserve">Act </w:t>
      </w:r>
      <w:r w:rsidRPr="00D82148">
        <w:rPr>
          <w:lang w:val="en-GB"/>
        </w:rPr>
        <w:t xml:space="preserve">on International and Temporary Protection, NN (Official Journal of the Republic of Croatia 70/15. </w:t>
      </w:r>
    </w:p>
  </w:footnote>
  <w:footnote w:id="66">
    <w:p w14:paraId="6A1347C0" w14:textId="77777777" w:rsidR="003650E9" w:rsidRPr="00D82148" w:rsidRDefault="003650E9" w:rsidP="006F429F">
      <w:pPr>
        <w:pStyle w:val="FootnoteText"/>
        <w:rPr>
          <w:lang w:val="en-GB"/>
        </w:rPr>
      </w:pPr>
      <w:r w:rsidRPr="00D82148">
        <w:rPr>
          <w:rStyle w:val="FootnoteReference"/>
          <w:lang w:val="en-GB"/>
        </w:rPr>
        <w:footnoteRef/>
      </w:r>
      <w:r w:rsidRPr="00D82148">
        <w:rPr>
          <w:lang w:val="en-GB"/>
        </w:rPr>
        <w:t xml:space="preserve"> Eurostat asylum statistics available at: </w:t>
      </w:r>
      <w:hyperlink r:id="rId23" w:anchor="Main_statistical_findings" w:history="1">
        <w:r w:rsidRPr="00D82148">
          <w:rPr>
            <w:rStyle w:val="Hyperlink"/>
            <w:lang w:val="en-GB"/>
          </w:rPr>
          <w:t>http://ec.europa.eu/eurostat/statistics-explained/index.php/Asylum_statistics#Main_statistical_findings</w:t>
        </w:r>
      </w:hyperlink>
      <w:r w:rsidRPr="00D82148">
        <w:rPr>
          <w:lang w:val="en-GB"/>
        </w:rPr>
        <w:t xml:space="preserve"> (last accessed on 16 October 2017).</w:t>
      </w:r>
    </w:p>
  </w:footnote>
  <w:footnote w:id="67">
    <w:p w14:paraId="00B48737"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w:t>
      </w:r>
      <w:proofErr w:type="gramStart"/>
      <w:r w:rsidRPr="00D82148">
        <w:rPr>
          <w:lang w:val="en-GB"/>
        </w:rPr>
        <w:t>Security Vetting Act, NN (Official Gazette of the Republic of Croatia) 85/08, 86/12), Article 41.</w:t>
      </w:r>
      <w:proofErr w:type="gramEnd"/>
      <w:r w:rsidRPr="00D82148">
        <w:rPr>
          <w:lang w:val="en-GB"/>
        </w:rPr>
        <w:t xml:space="preserve"> </w:t>
      </w:r>
    </w:p>
  </w:footnote>
  <w:footnote w:id="68">
    <w:p w14:paraId="28B40320" w14:textId="77777777" w:rsidR="003650E9" w:rsidRPr="00D82148" w:rsidRDefault="003650E9" w:rsidP="005D70B8">
      <w:pPr>
        <w:pStyle w:val="FootnoteText"/>
        <w:rPr>
          <w:lang w:val="en-GB"/>
        </w:rPr>
      </w:pPr>
      <w:r w:rsidRPr="00D82148">
        <w:rPr>
          <w:rStyle w:val="FootnoteReference"/>
          <w:lang w:val="en-GB"/>
        </w:rPr>
        <w:footnoteRef/>
      </w:r>
      <w:r w:rsidRPr="00D82148">
        <w:rPr>
          <w:lang w:val="en-GB"/>
        </w:rPr>
        <w:t xml:space="preserve"> </w:t>
      </w:r>
      <w:r>
        <w:rPr>
          <w:lang w:val="en-GB"/>
        </w:rPr>
        <w:t>“</w:t>
      </w:r>
      <w:r w:rsidRPr="00D82148">
        <w:rPr>
          <w:lang w:val="en-GB"/>
        </w:rPr>
        <w:t xml:space="preserve">Report on arbitrary and unlawful practices by the Ministry of </w:t>
      </w:r>
      <w:r>
        <w:rPr>
          <w:lang w:val="en-GB"/>
        </w:rPr>
        <w:t xml:space="preserve">the </w:t>
      </w:r>
      <w:r w:rsidRPr="00D82148">
        <w:rPr>
          <w:lang w:val="en-GB"/>
        </w:rPr>
        <w:t>Interior and the Security and Intelligence Agency of the Republic of Croatia related to (</w:t>
      </w:r>
      <w:proofErr w:type="gramStart"/>
      <w:r w:rsidRPr="00D82148">
        <w:rPr>
          <w:lang w:val="en-GB"/>
        </w:rPr>
        <w:t>non)approval</w:t>
      </w:r>
      <w:proofErr w:type="gramEnd"/>
      <w:r w:rsidRPr="00D82148">
        <w:rPr>
          <w:lang w:val="en-GB"/>
        </w:rPr>
        <w:t xml:space="preserve"> of international protection or status of foreigners in Croatia</w:t>
      </w:r>
      <w:r>
        <w:rPr>
          <w:lang w:val="en-GB"/>
        </w:rPr>
        <w:t>”</w:t>
      </w:r>
      <w:r w:rsidRPr="00D82148">
        <w:rPr>
          <w:lang w:val="en-GB"/>
        </w:rPr>
        <w:t xml:space="preserve"> prepared by NGOs </w:t>
      </w:r>
      <w:r w:rsidRPr="00D82148">
        <w:rPr>
          <w:i/>
          <w:lang w:val="en-GB"/>
        </w:rPr>
        <w:t xml:space="preserve">Are You </w:t>
      </w:r>
      <w:proofErr w:type="spellStart"/>
      <w:r w:rsidRPr="00D82148">
        <w:rPr>
          <w:i/>
          <w:lang w:val="en-GB"/>
        </w:rPr>
        <w:t>Syrious</w:t>
      </w:r>
      <w:proofErr w:type="spellEnd"/>
      <w:r w:rsidRPr="00D82148">
        <w:rPr>
          <w:i/>
          <w:lang w:val="en-GB"/>
        </w:rPr>
        <w:t>?</w:t>
      </w:r>
      <w:r w:rsidRPr="00D82148">
        <w:rPr>
          <w:lang w:val="en-GB"/>
        </w:rPr>
        <w:t xml:space="preserve"> </w:t>
      </w:r>
      <w:proofErr w:type="gramStart"/>
      <w:r w:rsidRPr="00D82148">
        <w:rPr>
          <w:lang w:val="en-GB"/>
        </w:rPr>
        <w:t>and</w:t>
      </w:r>
      <w:proofErr w:type="gramEnd"/>
      <w:r w:rsidRPr="00D82148">
        <w:rPr>
          <w:lang w:val="en-GB"/>
        </w:rPr>
        <w:t xml:space="preserve"> </w:t>
      </w:r>
      <w:proofErr w:type="spellStart"/>
      <w:r w:rsidRPr="00D82148">
        <w:rPr>
          <w:i/>
          <w:lang w:val="en-GB"/>
        </w:rPr>
        <w:t>Center</w:t>
      </w:r>
      <w:proofErr w:type="spellEnd"/>
      <w:r w:rsidRPr="00D82148">
        <w:rPr>
          <w:i/>
          <w:lang w:val="en-GB"/>
        </w:rPr>
        <w:t xml:space="preserve"> for Peace Studies</w:t>
      </w:r>
      <w:r w:rsidRPr="00D82148">
        <w:rPr>
          <w:lang w:val="en-GB"/>
        </w:rPr>
        <w:t>, 26 April 2017, ava</w:t>
      </w:r>
      <w:r>
        <w:rPr>
          <w:lang w:val="en-GB"/>
        </w:rPr>
        <w:t>i</w:t>
      </w:r>
      <w:r w:rsidRPr="00D82148">
        <w:rPr>
          <w:lang w:val="en-GB"/>
        </w:rPr>
        <w:t xml:space="preserve">lable at: https://cms.hr/system/article_document/doc/403/CPS_and_AYS_-_Report_on_arbitrary_and_unlawful_practices_by_the_Ministry_of_Interior_and_the_Security_and_Intelligence_Agency__related_to__non_approval_of_international_protection_or_status_of_foreigners_in_Croatia.pdf (last accessed on 16 October 2017). </w:t>
      </w:r>
    </w:p>
  </w:footnote>
  <w:footnote w:id="69">
    <w:p w14:paraId="1CE8BAAB"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Information provided by the Office of the Croatian Ombudsman in an intervi</w:t>
      </w:r>
      <w:r>
        <w:rPr>
          <w:lang w:val="en-GB"/>
        </w:rPr>
        <w:t>e</w:t>
      </w:r>
      <w:r w:rsidRPr="00D82148">
        <w:rPr>
          <w:lang w:val="en-GB"/>
        </w:rPr>
        <w:t xml:space="preserve">w held on 6 November 2017. </w:t>
      </w:r>
    </w:p>
  </w:footnote>
  <w:footnote w:id="70">
    <w:p w14:paraId="274E0182"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Report of the Croatian Ombudsman for 2016, 31 March 2017, p. 196, available at: http://ombudsman.hr/hr/component/jdownloads/send/76-izvjesca-2016/849-izvjesce-pucke-pravobraniteljice-za-2016-godinu (last accessed on 16 October 2017). </w:t>
      </w:r>
    </w:p>
  </w:footnote>
  <w:footnote w:id="71">
    <w:p w14:paraId="769CB014"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w:t>
      </w:r>
      <w:proofErr w:type="gramStart"/>
      <w:r w:rsidRPr="00D82148">
        <w:rPr>
          <w:lang w:val="en-GB"/>
        </w:rPr>
        <w:t>Ibid, p. 196.</w:t>
      </w:r>
      <w:proofErr w:type="gramEnd"/>
      <w:r w:rsidRPr="00D82148">
        <w:rPr>
          <w:lang w:val="en-GB"/>
        </w:rPr>
        <w:t xml:space="preserve"> </w:t>
      </w:r>
    </w:p>
  </w:footnote>
  <w:footnote w:id="72">
    <w:p w14:paraId="741BDB46" w14:textId="77777777" w:rsidR="003650E9" w:rsidRPr="00D82148" w:rsidRDefault="003650E9">
      <w:pPr>
        <w:pStyle w:val="FootnoteText"/>
        <w:rPr>
          <w:lang w:val="en-GB"/>
        </w:rPr>
      </w:pPr>
      <w:r w:rsidRPr="00D82148">
        <w:rPr>
          <w:rStyle w:val="FootnoteReference"/>
          <w:lang w:val="en-GB"/>
        </w:rPr>
        <w:footnoteRef/>
      </w:r>
      <w:r w:rsidRPr="00D82148">
        <w:rPr>
          <w:lang w:val="en-GB"/>
        </w:rPr>
        <w:t xml:space="preserve"> Info</w:t>
      </w:r>
      <w:r>
        <w:rPr>
          <w:lang w:val="en-GB"/>
        </w:rPr>
        <w:t>r</w:t>
      </w:r>
      <w:r w:rsidRPr="00D82148">
        <w:rPr>
          <w:lang w:val="en-GB"/>
        </w:rPr>
        <w:t xml:space="preserve">mation provided by the Office of the Croatian Ombudsman in an </w:t>
      </w:r>
      <w:r>
        <w:rPr>
          <w:lang w:val="en-GB"/>
        </w:rPr>
        <w:t xml:space="preserve">interview </w:t>
      </w:r>
      <w:r w:rsidRPr="00D82148">
        <w:rPr>
          <w:lang w:val="en-GB"/>
        </w:rPr>
        <w:t xml:space="preserve">held on 6 November 2017. </w:t>
      </w:r>
    </w:p>
  </w:footnote>
  <w:footnote w:id="73">
    <w:p w14:paraId="6BB7F327" w14:textId="77777777" w:rsidR="003650E9" w:rsidRPr="00D82148" w:rsidRDefault="003650E9" w:rsidP="00CD3BF9">
      <w:pPr>
        <w:pStyle w:val="FootnoteText"/>
        <w:rPr>
          <w:lang w:val="en-GB"/>
        </w:rPr>
      </w:pPr>
      <w:r w:rsidRPr="00D82148">
        <w:rPr>
          <w:rStyle w:val="FootnoteReference"/>
          <w:lang w:val="en-GB"/>
        </w:rPr>
        <w:footnoteRef/>
      </w:r>
      <w:r w:rsidRPr="00D82148">
        <w:rPr>
          <w:lang w:val="en-GB"/>
        </w:rPr>
        <w:t xml:space="preserve"> </w:t>
      </w:r>
      <w:proofErr w:type="gramStart"/>
      <w:r w:rsidRPr="00D82148">
        <w:rPr>
          <w:lang w:val="en-GB"/>
        </w:rPr>
        <w:t>Decision on the list of safe third countries of origin in the procedure for granting international protection, NN (Official Gazette of the Republic of Croatia) 45/2016.</w:t>
      </w:r>
      <w:proofErr w:type="gramEnd"/>
      <w:r w:rsidRPr="00D82148">
        <w:rPr>
          <w:lang w:val="en-GB"/>
        </w:rPr>
        <w:t xml:space="preserve"> </w:t>
      </w:r>
    </w:p>
  </w:footnote>
  <w:footnote w:id="74">
    <w:p w14:paraId="0AF82093" w14:textId="77777777" w:rsidR="003650E9" w:rsidRPr="00D82148" w:rsidRDefault="003650E9" w:rsidP="00CD3BF9">
      <w:pPr>
        <w:pStyle w:val="FootnoteText"/>
        <w:rPr>
          <w:lang w:val="en-GB"/>
        </w:rPr>
      </w:pPr>
      <w:r w:rsidRPr="00D82148">
        <w:rPr>
          <w:rStyle w:val="FootnoteReference"/>
          <w:lang w:val="en-GB"/>
        </w:rPr>
        <w:footnoteRef/>
      </w:r>
      <w:r w:rsidRPr="00D82148">
        <w:rPr>
          <w:lang w:val="en-GB"/>
        </w:rPr>
        <w:t xml:space="preserve"> The countries included on the list are: Albania, Bosnia and Herzegovina, FYROM, Kosovo, Montenegro, Serbia, Morocco, Algeria, Tunisia and Turkey. </w:t>
      </w:r>
    </w:p>
  </w:footnote>
  <w:footnote w:id="75">
    <w:p w14:paraId="4918CF96" w14:textId="20ED8300" w:rsidR="003650E9" w:rsidRPr="00D82148" w:rsidRDefault="003650E9" w:rsidP="00CD3BF9">
      <w:pPr>
        <w:pStyle w:val="FootnoteText"/>
        <w:rPr>
          <w:lang w:val="en-GB"/>
        </w:rPr>
      </w:pPr>
      <w:r w:rsidRPr="00D82148">
        <w:rPr>
          <w:rStyle w:val="FootnoteReference"/>
          <w:lang w:val="en-GB"/>
        </w:rPr>
        <w:footnoteRef/>
      </w:r>
      <w:r w:rsidRPr="00D82148">
        <w:rPr>
          <w:lang w:val="en-GB"/>
        </w:rPr>
        <w:t xml:space="preserve"> AIDA Country Report: Croatia, 2016 Update, p. 46, available at: </w:t>
      </w:r>
      <w:hyperlink r:id="rId24" w:history="1">
        <w:r w:rsidRPr="00D82148">
          <w:rPr>
            <w:rStyle w:val="Hyperlink"/>
            <w:lang w:val="en-GB"/>
          </w:rPr>
          <w:t>http://www.asylumineurope.org/sites/default/files/report-download/aida_hr_2016update.pdf</w:t>
        </w:r>
      </w:hyperlink>
      <w:r w:rsidRPr="00D82148">
        <w:rPr>
          <w:lang w:val="en-GB"/>
        </w:rPr>
        <w:t xml:space="preserve"> (last accessed on 16 October 2017).</w:t>
      </w:r>
    </w:p>
  </w:footnote>
  <w:footnote w:id="76">
    <w:p w14:paraId="57E07DBD" w14:textId="77777777" w:rsidR="003650E9" w:rsidRPr="00D82148" w:rsidRDefault="003650E9" w:rsidP="007076F3">
      <w:pPr>
        <w:pStyle w:val="FootnoteText"/>
        <w:rPr>
          <w:bCs/>
          <w:lang w:val="en-GB"/>
        </w:rPr>
      </w:pPr>
      <w:r w:rsidRPr="00D82148">
        <w:rPr>
          <w:rStyle w:val="FootnoteReference"/>
          <w:lang w:val="en-GB"/>
        </w:rPr>
        <w:footnoteRef/>
      </w:r>
      <w:r w:rsidRPr="00D82148">
        <w:rPr>
          <w:lang w:val="en-GB"/>
        </w:rPr>
        <w:t xml:space="preserve"> </w:t>
      </w:r>
      <w:r w:rsidRPr="00D82148">
        <w:rPr>
          <w:bCs/>
          <w:lang w:val="en-GB"/>
        </w:rPr>
        <w:t xml:space="preserve">Council Decision (EU) 2015/1601 of 22 September 2015 establishing provisional measures in the area of international protection for the benefit of Italy and Greece, OJ L 248, 24.9.2015, p. 80–94.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FF4"/>
    <w:multiLevelType w:val="hybridMultilevel"/>
    <w:tmpl w:val="6556FF1E"/>
    <w:lvl w:ilvl="0" w:tplc="CD06D8F0">
      <w:start w:val="1"/>
      <w:numFmt w:val="bullet"/>
      <w:lvlText w:val=""/>
      <w:lvlJc w:val="left"/>
      <w:pPr>
        <w:tabs>
          <w:tab w:val="num" w:pos="720"/>
        </w:tabs>
        <w:ind w:left="720" w:hanging="360"/>
      </w:pPr>
      <w:rPr>
        <w:rFonts w:ascii="Wingdings" w:hAnsi="Wingdings" w:hint="default"/>
      </w:rPr>
    </w:lvl>
    <w:lvl w:ilvl="1" w:tplc="F480658A" w:tentative="1">
      <w:start w:val="1"/>
      <w:numFmt w:val="bullet"/>
      <w:lvlText w:val=""/>
      <w:lvlJc w:val="left"/>
      <w:pPr>
        <w:tabs>
          <w:tab w:val="num" w:pos="1440"/>
        </w:tabs>
        <w:ind w:left="1440" w:hanging="360"/>
      </w:pPr>
      <w:rPr>
        <w:rFonts w:ascii="Wingdings" w:hAnsi="Wingdings" w:hint="default"/>
      </w:rPr>
    </w:lvl>
    <w:lvl w:ilvl="2" w:tplc="D12AAD9E" w:tentative="1">
      <w:start w:val="1"/>
      <w:numFmt w:val="bullet"/>
      <w:lvlText w:val=""/>
      <w:lvlJc w:val="left"/>
      <w:pPr>
        <w:tabs>
          <w:tab w:val="num" w:pos="2160"/>
        </w:tabs>
        <w:ind w:left="2160" w:hanging="360"/>
      </w:pPr>
      <w:rPr>
        <w:rFonts w:ascii="Wingdings" w:hAnsi="Wingdings" w:hint="default"/>
      </w:rPr>
    </w:lvl>
    <w:lvl w:ilvl="3" w:tplc="35B00730" w:tentative="1">
      <w:start w:val="1"/>
      <w:numFmt w:val="bullet"/>
      <w:lvlText w:val=""/>
      <w:lvlJc w:val="left"/>
      <w:pPr>
        <w:tabs>
          <w:tab w:val="num" w:pos="2880"/>
        </w:tabs>
        <w:ind w:left="2880" w:hanging="360"/>
      </w:pPr>
      <w:rPr>
        <w:rFonts w:ascii="Wingdings" w:hAnsi="Wingdings" w:hint="default"/>
      </w:rPr>
    </w:lvl>
    <w:lvl w:ilvl="4" w:tplc="FD4C1748" w:tentative="1">
      <w:start w:val="1"/>
      <w:numFmt w:val="bullet"/>
      <w:lvlText w:val=""/>
      <w:lvlJc w:val="left"/>
      <w:pPr>
        <w:tabs>
          <w:tab w:val="num" w:pos="3600"/>
        </w:tabs>
        <w:ind w:left="3600" w:hanging="360"/>
      </w:pPr>
      <w:rPr>
        <w:rFonts w:ascii="Wingdings" w:hAnsi="Wingdings" w:hint="default"/>
      </w:rPr>
    </w:lvl>
    <w:lvl w:ilvl="5" w:tplc="8760F026" w:tentative="1">
      <w:start w:val="1"/>
      <w:numFmt w:val="bullet"/>
      <w:lvlText w:val=""/>
      <w:lvlJc w:val="left"/>
      <w:pPr>
        <w:tabs>
          <w:tab w:val="num" w:pos="4320"/>
        </w:tabs>
        <w:ind w:left="4320" w:hanging="360"/>
      </w:pPr>
      <w:rPr>
        <w:rFonts w:ascii="Wingdings" w:hAnsi="Wingdings" w:hint="default"/>
      </w:rPr>
    </w:lvl>
    <w:lvl w:ilvl="6" w:tplc="9A9AA31A" w:tentative="1">
      <w:start w:val="1"/>
      <w:numFmt w:val="bullet"/>
      <w:lvlText w:val=""/>
      <w:lvlJc w:val="left"/>
      <w:pPr>
        <w:tabs>
          <w:tab w:val="num" w:pos="5040"/>
        </w:tabs>
        <w:ind w:left="5040" w:hanging="360"/>
      </w:pPr>
      <w:rPr>
        <w:rFonts w:ascii="Wingdings" w:hAnsi="Wingdings" w:hint="default"/>
      </w:rPr>
    </w:lvl>
    <w:lvl w:ilvl="7" w:tplc="BB94BDF2" w:tentative="1">
      <w:start w:val="1"/>
      <w:numFmt w:val="bullet"/>
      <w:lvlText w:val=""/>
      <w:lvlJc w:val="left"/>
      <w:pPr>
        <w:tabs>
          <w:tab w:val="num" w:pos="5760"/>
        </w:tabs>
        <w:ind w:left="5760" w:hanging="360"/>
      </w:pPr>
      <w:rPr>
        <w:rFonts w:ascii="Wingdings" w:hAnsi="Wingdings" w:hint="default"/>
      </w:rPr>
    </w:lvl>
    <w:lvl w:ilvl="8" w:tplc="8696C88A" w:tentative="1">
      <w:start w:val="1"/>
      <w:numFmt w:val="bullet"/>
      <w:lvlText w:val=""/>
      <w:lvlJc w:val="left"/>
      <w:pPr>
        <w:tabs>
          <w:tab w:val="num" w:pos="6480"/>
        </w:tabs>
        <w:ind w:left="6480" w:hanging="360"/>
      </w:pPr>
      <w:rPr>
        <w:rFonts w:ascii="Wingdings" w:hAnsi="Wingdings" w:hint="default"/>
      </w:rPr>
    </w:lvl>
  </w:abstractNum>
  <w:abstractNum w:abstractNumId="1">
    <w:nsid w:val="52FE2BB7"/>
    <w:multiLevelType w:val="singleLevel"/>
    <w:tmpl w:val="7AFA42F4"/>
    <w:lvl w:ilvl="0">
      <w:start w:val="1"/>
      <w:numFmt w:val="bullet"/>
      <w:lvlText w:val=""/>
      <w:lvlJc w:val="left"/>
      <w:pPr>
        <w:tabs>
          <w:tab w:val="num" w:pos="360"/>
        </w:tabs>
        <w:ind w:left="360" w:hanging="360"/>
      </w:pPr>
      <w:rPr>
        <w:rFonts w:ascii="Symbol" w:hAnsi="Symbol" w:hint="default"/>
        <w:b w:val="0"/>
        <w:i w:val="0"/>
        <w:sz w:val="20"/>
      </w:rPr>
    </w:lvl>
  </w:abstractNum>
  <w:abstractNum w:abstractNumId="2">
    <w:nsid w:val="549A57A2"/>
    <w:multiLevelType w:val="hybridMultilevel"/>
    <w:tmpl w:val="423AFB22"/>
    <w:lvl w:ilvl="0" w:tplc="D7C2CB0E">
      <w:start w:val="1"/>
      <w:numFmt w:val="bullet"/>
      <w:lvlText w:val=""/>
      <w:lvlJc w:val="left"/>
      <w:pPr>
        <w:tabs>
          <w:tab w:val="num" w:pos="720"/>
        </w:tabs>
        <w:ind w:left="720" w:hanging="360"/>
      </w:pPr>
      <w:rPr>
        <w:rFonts w:ascii="Wingdings" w:hAnsi="Wingdings" w:hint="default"/>
      </w:rPr>
    </w:lvl>
    <w:lvl w:ilvl="1" w:tplc="7810A11C" w:tentative="1">
      <w:start w:val="1"/>
      <w:numFmt w:val="bullet"/>
      <w:lvlText w:val=""/>
      <w:lvlJc w:val="left"/>
      <w:pPr>
        <w:tabs>
          <w:tab w:val="num" w:pos="1440"/>
        </w:tabs>
        <w:ind w:left="1440" w:hanging="360"/>
      </w:pPr>
      <w:rPr>
        <w:rFonts w:ascii="Wingdings" w:hAnsi="Wingdings" w:hint="default"/>
      </w:rPr>
    </w:lvl>
    <w:lvl w:ilvl="2" w:tplc="2F869D86" w:tentative="1">
      <w:start w:val="1"/>
      <w:numFmt w:val="bullet"/>
      <w:lvlText w:val=""/>
      <w:lvlJc w:val="left"/>
      <w:pPr>
        <w:tabs>
          <w:tab w:val="num" w:pos="2160"/>
        </w:tabs>
        <w:ind w:left="2160" w:hanging="360"/>
      </w:pPr>
      <w:rPr>
        <w:rFonts w:ascii="Wingdings" w:hAnsi="Wingdings" w:hint="default"/>
      </w:rPr>
    </w:lvl>
    <w:lvl w:ilvl="3" w:tplc="CC2C543E" w:tentative="1">
      <w:start w:val="1"/>
      <w:numFmt w:val="bullet"/>
      <w:lvlText w:val=""/>
      <w:lvlJc w:val="left"/>
      <w:pPr>
        <w:tabs>
          <w:tab w:val="num" w:pos="2880"/>
        </w:tabs>
        <w:ind w:left="2880" w:hanging="360"/>
      </w:pPr>
      <w:rPr>
        <w:rFonts w:ascii="Wingdings" w:hAnsi="Wingdings" w:hint="default"/>
      </w:rPr>
    </w:lvl>
    <w:lvl w:ilvl="4" w:tplc="357E70FA" w:tentative="1">
      <w:start w:val="1"/>
      <w:numFmt w:val="bullet"/>
      <w:lvlText w:val=""/>
      <w:lvlJc w:val="left"/>
      <w:pPr>
        <w:tabs>
          <w:tab w:val="num" w:pos="3600"/>
        </w:tabs>
        <w:ind w:left="3600" w:hanging="360"/>
      </w:pPr>
      <w:rPr>
        <w:rFonts w:ascii="Wingdings" w:hAnsi="Wingdings" w:hint="default"/>
      </w:rPr>
    </w:lvl>
    <w:lvl w:ilvl="5" w:tplc="9426FC72" w:tentative="1">
      <w:start w:val="1"/>
      <w:numFmt w:val="bullet"/>
      <w:lvlText w:val=""/>
      <w:lvlJc w:val="left"/>
      <w:pPr>
        <w:tabs>
          <w:tab w:val="num" w:pos="4320"/>
        </w:tabs>
        <w:ind w:left="4320" w:hanging="360"/>
      </w:pPr>
      <w:rPr>
        <w:rFonts w:ascii="Wingdings" w:hAnsi="Wingdings" w:hint="default"/>
      </w:rPr>
    </w:lvl>
    <w:lvl w:ilvl="6" w:tplc="36A81910" w:tentative="1">
      <w:start w:val="1"/>
      <w:numFmt w:val="bullet"/>
      <w:lvlText w:val=""/>
      <w:lvlJc w:val="left"/>
      <w:pPr>
        <w:tabs>
          <w:tab w:val="num" w:pos="5040"/>
        </w:tabs>
        <w:ind w:left="5040" w:hanging="360"/>
      </w:pPr>
      <w:rPr>
        <w:rFonts w:ascii="Wingdings" w:hAnsi="Wingdings" w:hint="default"/>
      </w:rPr>
    </w:lvl>
    <w:lvl w:ilvl="7" w:tplc="BCB6319C" w:tentative="1">
      <w:start w:val="1"/>
      <w:numFmt w:val="bullet"/>
      <w:lvlText w:val=""/>
      <w:lvlJc w:val="left"/>
      <w:pPr>
        <w:tabs>
          <w:tab w:val="num" w:pos="5760"/>
        </w:tabs>
        <w:ind w:left="5760" w:hanging="360"/>
      </w:pPr>
      <w:rPr>
        <w:rFonts w:ascii="Wingdings" w:hAnsi="Wingdings" w:hint="default"/>
      </w:rPr>
    </w:lvl>
    <w:lvl w:ilvl="8" w:tplc="7FB4907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B0"/>
    <w:rsid w:val="0001619E"/>
    <w:rsid w:val="000165B9"/>
    <w:rsid w:val="0001688B"/>
    <w:rsid w:val="000240B6"/>
    <w:rsid w:val="000258B9"/>
    <w:rsid w:val="00034909"/>
    <w:rsid w:val="0003601F"/>
    <w:rsid w:val="000418E6"/>
    <w:rsid w:val="00044468"/>
    <w:rsid w:val="00047938"/>
    <w:rsid w:val="00050D74"/>
    <w:rsid w:val="00051680"/>
    <w:rsid w:val="000554F9"/>
    <w:rsid w:val="00057B05"/>
    <w:rsid w:val="000606A6"/>
    <w:rsid w:val="00083CBD"/>
    <w:rsid w:val="00086874"/>
    <w:rsid w:val="00092E44"/>
    <w:rsid w:val="0009507C"/>
    <w:rsid w:val="00096954"/>
    <w:rsid w:val="000A2E6D"/>
    <w:rsid w:val="000A3EE7"/>
    <w:rsid w:val="000A6419"/>
    <w:rsid w:val="000A6CF2"/>
    <w:rsid w:val="000A7913"/>
    <w:rsid w:val="000C1FA1"/>
    <w:rsid w:val="000C27B4"/>
    <w:rsid w:val="000C302C"/>
    <w:rsid w:val="000E3987"/>
    <w:rsid w:val="000E50C3"/>
    <w:rsid w:val="00100C2E"/>
    <w:rsid w:val="00103A20"/>
    <w:rsid w:val="001045C5"/>
    <w:rsid w:val="00105E15"/>
    <w:rsid w:val="00132501"/>
    <w:rsid w:val="00136D76"/>
    <w:rsid w:val="00144CC6"/>
    <w:rsid w:val="00144FA8"/>
    <w:rsid w:val="00147E2D"/>
    <w:rsid w:val="001611F2"/>
    <w:rsid w:val="001617F5"/>
    <w:rsid w:val="00171689"/>
    <w:rsid w:val="0018387B"/>
    <w:rsid w:val="00191408"/>
    <w:rsid w:val="00192365"/>
    <w:rsid w:val="001958C6"/>
    <w:rsid w:val="00195A7C"/>
    <w:rsid w:val="001A0BE8"/>
    <w:rsid w:val="001A1C8E"/>
    <w:rsid w:val="001A33D0"/>
    <w:rsid w:val="001A3D68"/>
    <w:rsid w:val="001B395E"/>
    <w:rsid w:val="001B43D6"/>
    <w:rsid w:val="001C4728"/>
    <w:rsid w:val="001E4C01"/>
    <w:rsid w:val="001F2AA6"/>
    <w:rsid w:val="001F3F82"/>
    <w:rsid w:val="001F49DD"/>
    <w:rsid w:val="002100A7"/>
    <w:rsid w:val="00226ADB"/>
    <w:rsid w:val="0022789A"/>
    <w:rsid w:val="002404D0"/>
    <w:rsid w:val="0024516D"/>
    <w:rsid w:val="00245989"/>
    <w:rsid w:val="002500BF"/>
    <w:rsid w:val="00255886"/>
    <w:rsid w:val="00266C16"/>
    <w:rsid w:val="00276385"/>
    <w:rsid w:val="002803E6"/>
    <w:rsid w:val="00281D09"/>
    <w:rsid w:val="0028487F"/>
    <w:rsid w:val="00287A05"/>
    <w:rsid w:val="00287A17"/>
    <w:rsid w:val="002908CA"/>
    <w:rsid w:val="00294C82"/>
    <w:rsid w:val="002961E2"/>
    <w:rsid w:val="002A15BD"/>
    <w:rsid w:val="002A442E"/>
    <w:rsid w:val="002A7D12"/>
    <w:rsid w:val="002B723A"/>
    <w:rsid w:val="002C2E4D"/>
    <w:rsid w:val="002C7B32"/>
    <w:rsid w:val="002D04B3"/>
    <w:rsid w:val="002E0C23"/>
    <w:rsid w:val="002E6AAF"/>
    <w:rsid w:val="002F214D"/>
    <w:rsid w:val="002F22DB"/>
    <w:rsid w:val="002F61E8"/>
    <w:rsid w:val="00300E3E"/>
    <w:rsid w:val="00302773"/>
    <w:rsid w:val="00303C9C"/>
    <w:rsid w:val="00305639"/>
    <w:rsid w:val="003058E8"/>
    <w:rsid w:val="003113C7"/>
    <w:rsid w:val="00314531"/>
    <w:rsid w:val="00324507"/>
    <w:rsid w:val="00335AA9"/>
    <w:rsid w:val="00336581"/>
    <w:rsid w:val="0033669F"/>
    <w:rsid w:val="00342ECF"/>
    <w:rsid w:val="00347992"/>
    <w:rsid w:val="00351E39"/>
    <w:rsid w:val="00355680"/>
    <w:rsid w:val="00361F84"/>
    <w:rsid w:val="00364D8C"/>
    <w:rsid w:val="003650E9"/>
    <w:rsid w:val="003710A9"/>
    <w:rsid w:val="00372671"/>
    <w:rsid w:val="0037309C"/>
    <w:rsid w:val="0037381B"/>
    <w:rsid w:val="00376964"/>
    <w:rsid w:val="003804C0"/>
    <w:rsid w:val="00385513"/>
    <w:rsid w:val="00385F66"/>
    <w:rsid w:val="00392E87"/>
    <w:rsid w:val="003A5395"/>
    <w:rsid w:val="003B27BD"/>
    <w:rsid w:val="003B2A51"/>
    <w:rsid w:val="003C421F"/>
    <w:rsid w:val="003C51DC"/>
    <w:rsid w:val="003D287D"/>
    <w:rsid w:val="003F4047"/>
    <w:rsid w:val="00403D0C"/>
    <w:rsid w:val="0041389E"/>
    <w:rsid w:val="00431249"/>
    <w:rsid w:val="004328ED"/>
    <w:rsid w:val="00442FE5"/>
    <w:rsid w:val="004437B0"/>
    <w:rsid w:val="00443967"/>
    <w:rsid w:val="004530DA"/>
    <w:rsid w:val="0045530D"/>
    <w:rsid w:val="00465A2D"/>
    <w:rsid w:val="00465ACD"/>
    <w:rsid w:val="00473797"/>
    <w:rsid w:val="00480FCD"/>
    <w:rsid w:val="00482FB0"/>
    <w:rsid w:val="00493542"/>
    <w:rsid w:val="00493C0E"/>
    <w:rsid w:val="00495470"/>
    <w:rsid w:val="004978FE"/>
    <w:rsid w:val="004A01B0"/>
    <w:rsid w:val="004A5EC9"/>
    <w:rsid w:val="004C0130"/>
    <w:rsid w:val="004C511C"/>
    <w:rsid w:val="004C5726"/>
    <w:rsid w:val="004D6531"/>
    <w:rsid w:val="004E1145"/>
    <w:rsid w:val="004E4A13"/>
    <w:rsid w:val="004E62C2"/>
    <w:rsid w:val="004F4A44"/>
    <w:rsid w:val="0051621E"/>
    <w:rsid w:val="00525D9F"/>
    <w:rsid w:val="00532EED"/>
    <w:rsid w:val="005332D7"/>
    <w:rsid w:val="00534A35"/>
    <w:rsid w:val="00543107"/>
    <w:rsid w:val="00561797"/>
    <w:rsid w:val="00567B45"/>
    <w:rsid w:val="00572FD1"/>
    <w:rsid w:val="00574919"/>
    <w:rsid w:val="00590D3F"/>
    <w:rsid w:val="00591CA0"/>
    <w:rsid w:val="0059230C"/>
    <w:rsid w:val="00594A69"/>
    <w:rsid w:val="005A00C7"/>
    <w:rsid w:val="005A632A"/>
    <w:rsid w:val="005C0F84"/>
    <w:rsid w:val="005D0081"/>
    <w:rsid w:val="005D0922"/>
    <w:rsid w:val="005D3B46"/>
    <w:rsid w:val="005D3EA4"/>
    <w:rsid w:val="005D7038"/>
    <w:rsid w:val="005D70B8"/>
    <w:rsid w:val="005D7641"/>
    <w:rsid w:val="005D76E9"/>
    <w:rsid w:val="005F6AA7"/>
    <w:rsid w:val="00603DC7"/>
    <w:rsid w:val="00610E01"/>
    <w:rsid w:val="00611AE8"/>
    <w:rsid w:val="00612977"/>
    <w:rsid w:val="00614B0D"/>
    <w:rsid w:val="00626945"/>
    <w:rsid w:val="00626FB2"/>
    <w:rsid w:val="006276B3"/>
    <w:rsid w:val="00634286"/>
    <w:rsid w:val="006353B0"/>
    <w:rsid w:val="00642885"/>
    <w:rsid w:val="0064522C"/>
    <w:rsid w:val="006621A9"/>
    <w:rsid w:val="00667D01"/>
    <w:rsid w:val="00681EE3"/>
    <w:rsid w:val="00686D18"/>
    <w:rsid w:val="00686FB6"/>
    <w:rsid w:val="00690623"/>
    <w:rsid w:val="006939E9"/>
    <w:rsid w:val="00696035"/>
    <w:rsid w:val="006966C1"/>
    <w:rsid w:val="00697736"/>
    <w:rsid w:val="00697779"/>
    <w:rsid w:val="006A0BAA"/>
    <w:rsid w:val="006A17A3"/>
    <w:rsid w:val="006A2468"/>
    <w:rsid w:val="006A2BB7"/>
    <w:rsid w:val="006A4461"/>
    <w:rsid w:val="006A718A"/>
    <w:rsid w:val="006B2B05"/>
    <w:rsid w:val="006B75F0"/>
    <w:rsid w:val="006C040F"/>
    <w:rsid w:val="006D0966"/>
    <w:rsid w:val="006D3EC2"/>
    <w:rsid w:val="006D44D9"/>
    <w:rsid w:val="006E3CB8"/>
    <w:rsid w:val="006E60DB"/>
    <w:rsid w:val="006F429F"/>
    <w:rsid w:val="006F6F0F"/>
    <w:rsid w:val="006F71A3"/>
    <w:rsid w:val="007010EE"/>
    <w:rsid w:val="007062A4"/>
    <w:rsid w:val="007076F3"/>
    <w:rsid w:val="00707E79"/>
    <w:rsid w:val="00717B44"/>
    <w:rsid w:val="00722F3E"/>
    <w:rsid w:val="00725814"/>
    <w:rsid w:val="007324B4"/>
    <w:rsid w:val="00735C21"/>
    <w:rsid w:val="007467FF"/>
    <w:rsid w:val="00746868"/>
    <w:rsid w:val="0076357A"/>
    <w:rsid w:val="00764561"/>
    <w:rsid w:val="007723BD"/>
    <w:rsid w:val="00783E16"/>
    <w:rsid w:val="007A168A"/>
    <w:rsid w:val="007A1CDD"/>
    <w:rsid w:val="007A42CF"/>
    <w:rsid w:val="007A486E"/>
    <w:rsid w:val="007F0200"/>
    <w:rsid w:val="008016D4"/>
    <w:rsid w:val="008037B9"/>
    <w:rsid w:val="00821A14"/>
    <w:rsid w:val="008272D1"/>
    <w:rsid w:val="00830715"/>
    <w:rsid w:val="008310A2"/>
    <w:rsid w:val="00842F96"/>
    <w:rsid w:val="0084610A"/>
    <w:rsid w:val="008517A1"/>
    <w:rsid w:val="00852FEC"/>
    <w:rsid w:val="00853C91"/>
    <w:rsid w:val="008546BE"/>
    <w:rsid w:val="00857E2F"/>
    <w:rsid w:val="00860BFA"/>
    <w:rsid w:val="00864506"/>
    <w:rsid w:val="0087107C"/>
    <w:rsid w:val="00871F1C"/>
    <w:rsid w:val="0087251E"/>
    <w:rsid w:val="00874F19"/>
    <w:rsid w:val="00882E1D"/>
    <w:rsid w:val="00891D14"/>
    <w:rsid w:val="008A73B5"/>
    <w:rsid w:val="008B5129"/>
    <w:rsid w:val="008C29F8"/>
    <w:rsid w:val="008D4FAB"/>
    <w:rsid w:val="008D69E7"/>
    <w:rsid w:val="008E56A4"/>
    <w:rsid w:val="008F5ACE"/>
    <w:rsid w:val="009062C7"/>
    <w:rsid w:val="00916388"/>
    <w:rsid w:val="00916BE1"/>
    <w:rsid w:val="00916DCB"/>
    <w:rsid w:val="009230DF"/>
    <w:rsid w:val="00923BD1"/>
    <w:rsid w:val="00937E5F"/>
    <w:rsid w:val="0094273A"/>
    <w:rsid w:val="009477B1"/>
    <w:rsid w:val="00971235"/>
    <w:rsid w:val="00972C50"/>
    <w:rsid w:val="00973F52"/>
    <w:rsid w:val="00975C18"/>
    <w:rsid w:val="00976627"/>
    <w:rsid w:val="009772A0"/>
    <w:rsid w:val="00983C06"/>
    <w:rsid w:val="00987691"/>
    <w:rsid w:val="00992F9E"/>
    <w:rsid w:val="009B0A51"/>
    <w:rsid w:val="009B0DB1"/>
    <w:rsid w:val="009B2F73"/>
    <w:rsid w:val="009B7DD6"/>
    <w:rsid w:val="009C106B"/>
    <w:rsid w:val="009C2FA5"/>
    <w:rsid w:val="009C565A"/>
    <w:rsid w:val="009C71E9"/>
    <w:rsid w:val="009D22BA"/>
    <w:rsid w:val="009E1F73"/>
    <w:rsid w:val="00A00723"/>
    <w:rsid w:val="00A03316"/>
    <w:rsid w:val="00A07079"/>
    <w:rsid w:val="00A20D85"/>
    <w:rsid w:val="00A21636"/>
    <w:rsid w:val="00A26223"/>
    <w:rsid w:val="00A3433D"/>
    <w:rsid w:val="00A353F4"/>
    <w:rsid w:val="00A35492"/>
    <w:rsid w:val="00A5112A"/>
    <w:rsid w:val="00A520C0"/>
    <w:rsid w:val="00A52FB6"/>
    <w:rsid w:val="00A5737A"/>
    <w:rsid w:val="00A625FA"/>
    <w:rsid w:val="00A70D98"/>
    <w:rsid w:val="00A77B46"/>
    <w:rsid w:val="00A90C1D"/>
    <w:rsid w:val="00AA24B4"/>
    <w:rsid w:val="00AA5793"/>
    <w:rsid w:val="00AB0B3D"/>
    <w:rsid w:val="00AC5DCE"/>
    <w:rsid w:val="00AC61A1"/>
    <w:rsid w:val="00AD42CF"/>
    <w:rsid w:val="00AD7E92"/>
    <w:rsid w:val="00AF2626"/>
    <w:rsid w:val="00B00941"/>
    <w:rsid w:val="00B01E99"/>
    <w:rsid w:val="00B03702"/>
    <w:rsid w:val="00B1347E"/>
    <w:rsid w:val="00B15EA8"/>
    <w:rsid w:val="00B201AA"/>
    <w:rsid w:val="00B25D36"/>
    <w:rsid w:val="00B33064"/>
    <w:rsid w:val="00B332A3"/>
    <w:rsid w:val="00B45538"/>
    <w:rsid w:val="00B5044F"/>
    <w:rsid w:val="00B50824"/>
    <w:rsid w:val="00B50862"/>
    <w:rsid w:val="00B51624"/>
    <w:rsid w:val="00B552A1"/>
    <w:rsid w:val="00B6605C"/>
    <w:rsid w:val="00B67514"/>
    <w:rsid w:val="00B71336"/>
    <w:rsid w:val="00B71D0B"/>
    <w:rsid w:val="00B77479"/>
    <w:rsid w:val="00B81487"/>
    <w:rsid w:val="00B83DD1"/>
    <w:rsid w:val="00B84406"/>
    <w:rsid w:val="00B948F2"/>
    <w:rsid w:val="00BA419C"/>
    <w:rsid w:val="00BB3463"/>
    <w:rsid w:val="00BB622E"/>
    <w:rsid w:val="00BC5D89"/>
    <w:rsid w:val="00BC7D62"/>
    <w:rsid w:val="00BD19D5"/>
    <w:rsid w:val="00BD3BF0"/>
    <w:rsid w:val="00BD7622"/>
    <w:rsid w:val="00BE67F8"/>
    <w:rsid w:val="00BE730F"/>
    <w:rsid w:val="00BE76AE"/>
    <w:rsid w:val="00BE7EDC"/>
    <w:rsid w:val="00BF107D"/>
    <w:rsid w:val="00C11737"/>
    <w:rsid w:val="00C12CC8"/>
    <w:rsid w:val="00C1437B"/>
    <w:rsid w:val="00C14C37"/>
    <w:rsid w:val="00C17D68"/>
    <w:rsid w:val="00C26081"/>
    <w:rsid w:val="00C303A1"/>
    <w:rsid w:val="00C31380"/>
    <w:rsid w:val="00C350BE"/>
    <w:rsid w:val="00C37900"/>
    <w:rsid w:val="00C45F3D"/>
    <w:rsid w:val="00C502B0"/>
    <w:rsid w:val="00C507EE"/>
    <w:rsid w:val="00C51C7B"/>
    <w:rsid w:val="00C62709"/>
    <w:rsid w:val="00C64EDD"/>
    <w:rsid w:val="00C70D58"/>
    <w:rsid w:val="00C73B73"/>
    <w:rsid w:val="00C76DE7"/>
    <w:rsid w:val="00C77963"/>
    <w:rsid w:val="00C807E0"/>
    <w:rsid w:val="00C822D1"/>
    <w:rsid w:val="00C86214"/>
    <w:rsid w:val="00C918FA"/>
    <w:rsid w:val="00C91DB7"/>
    <w:rsid w:val="00C9687D"/>
    <w:rsid w:val="00CA14DB"/>
    <w:rsid w:val="00CA19ED"/>
    <w:rsid w:val="00CA64F9"/>
    <w:rsid w:val="00CA7FDC"/>
    <w:rsid w:val="00CB1315"/>
    <w:rsid w:val="00CB2AF6"/>
    <w:rsid w:val="00CB306E"/>
    <w:rsid w:val="00CB3C05"/>
    <w:rsid w:val="00CB3FD2"/>
    <w:rsid w:val="00CB6E88"/>
    <w:rsid w:val="00CC1B6B"/>
    <w:rsid w:val="00CD3BF9"/>
    <w:rsid w:val="00CD3E6A"/>
    <w:rsid w:val="00CD7936"/>
    <w:rsid w:val="00CE2348"/>
    <w:rsid w:val="00CE578E"/>
    <w:rsid w:val="00CF40FA"/>
    <w:rsid w:val="00CF653B"/>
    <w:rsid w:val="00CF73A5"/>
    <w:rsid w:val="00D164AB"/>
    <w:rsid w:val="00D216D4"/>
    <w:rsid w:val="00D2753D"/>
    <w:rsid w:val="00D4221A"/>
    <w:rsid w:val="00D42CDE"/>
    <w:rsid w:val="00D43B96"/>
    <w:rsid w:val="00D52D9C"/>
    <w:rsid w:val="00D52FA4"/>
    <w:rsid w:val="00D6109C"/>
    <w:rsid w:val="00D82148"/>
    <w:rsid w:val="00D8386F"/>
    <w:rsid w:val="00D85802"/>
    <w:rsid w:val="00D87433"/>
    <w:rsid w:val="00D903F3"/>
    <w:rsid w:val="00DA1B4E"/>
    <w:rsid w:val="00DA434B"/>
    <w:rsid w:val="00DB267A"/>
    <w:rsid w:val="00DB3913"/>
    <w:rsid w:val="00DB701C"/>
    <w:rsid w:val="00DE27D2"/>
    <w:rsid w:val="00DF3237"/>
    <w:rsid w:val="00E0249C"/>
    <w:rsid w:val="00E04191"/>
    <w:rsid w:val="00E0556D"/>
    <w:rsid w:val="00E11A09"/>
    <w:rsid w:val="00E11C3B"/>
    <w:rsid w:val="00E14E2C"/>
    <w:rsid w:val="00E16012"/>
    <w:rsid w:val="00E2042F"/>
    <w:rsid w:val="00E427C1"/>
    <w:rsid w:val="00E427D6"/>
    <w:rsid w:val="00E43A17"/>
    <w:rsid w:val="00E45657"/>
    <w:rsid w:val="00E500BE"/>
    <w:rsid w:val="00E5097C"/>
    <w:rsid w:val="00E548CC"/>
    <w:rsid w:val="00E556F6"/>
    <w:rsid w:val="00E56648"/>
    <w:rsid w:val="00E60FC8"/>
    <w:rsid w:val="00E64CEE"/>
    <w:rsid w:val="00E80501"/>
    <w:rsid w:val="00E826FF"/>
    <w:rsid w:val="00E93BCD"/>
    <w:rsid w:val="00EA5BF7"/>
    <w:rsid w:val="00EB14FF"/>
    <w:rsid w:val="00EC13D9"/>
    <w:rsid w:val="00EC2B13"/>
    <w:rsid w:val="00EC60E2"/>
    <w:rsid w:val="00EC6A60"/>
    <w:rsid w:val="00ED5E6D"/>
    <w:rsid w:val="00EE15B1"/>
    <w:rsid w:val="00EF5FA7"/>
    <w:rsid w:val="00EF78DB"/>
    <w:rsid w:val="00F14A85"/>
    <w:rsid w:val="00F202D8"/>
    <w:rsid w:val="00F21B17"/>
    <w:rsid w:val="00F2486A"/>
    <w:rsid w:val="00F4558B"/>
    <w:rsid w:val="00F51F58"/>
    <w:rsid w:val="00F568ED"/>
    <w:rsid w:val="00F61F53"/>
    <w:rsid w:val="00F7266A"/>
    <w:rsid w:val="00F75DB0"/>
    <w:rsid w:val="00F75E55"/>
    <w:rsid w:val="00F80E10"/>
    <w:rsid w:val="00F85E7B"/>
    <w:rsid w:val="00F87C1B"/>
    <w:rsid w:val="00F87F21"/>
    <w:rsid w:val="00F91DF6"/>
    <w:rsid w:val="00F938DF"/>
    <w:rsid w:val="00FB0A0C"/>
    <w:rsid w:val="00FB5303"/>
    <w:rsid w:val="00FC0D99"/>
    <w:rsid w:val="00FF0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6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02B0"/>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rsid w:val="00C502B0"/>
    <w:rPr>
      <w:rFonts w:ascii="Cambria" w:eastAsia="MS Mincho" w:hAnsi="Cambria" w:cs="Times New Roman"/>
      <w:sz w:val="20"/>
      <w:szCs w:val="20"/>
    </w:rPr>
  </w:style>
  <w:style w:type="character" w:styleId="FootnoteReference">
    <w:name w:val="footnote reference"/>
    <w:uiPriority w:val="99"/>
    <w:unhideWhenUsed/>
    <w:rsid w:val="00C502B0"/>
    <w:rPr>
      <w:vertAlign w:val="superscript"/>
    </w:rPr>
  </w:style>
  <w:style w:type="character" w:styleId="CommentReference">
    <w:name w:val="annotation reference"/>
    <w:uiPriority w:val="99"/>
    <w:semiHidden/>
    <w:unhideWhenUsed/>
    <w:rsid w:val="00A20D85"/>
    <w:rPr>
      <w:sz w:val="18"/>
      <w:szCs w:val="18"/>
    </w:rPr>
  </w:style>
  <w:style w:type="paragraph" w:styleId="CommentText">
    <w:name w:val="annotation text"/>
    <w:basedOn w:val="Normal"/>
    <w:link w:val="CommentTextChar"/>
    <w:uiPriority w:val="99"/>
    <w:unhideWhenUsed/>
    <w:rsid w:val="00A20D85"/>
    <w:rPr>
      <w:rFonts w:ascii="Cambria" w:eastAsia="MS Mincho" w:hAnsi="Cambria" w:cs="Times New Roman"/>
    </w:rPr>
  </w:style>
  <w:style w:type="character" w:customStyle="1" w:styleId="CommentTextChar">
    <w:name w:val="Comment Text Char"/>
    <w:basedOn w:val="DefaultParagraphFont"/>
    <w:link w:val="CommentText"/>
    <w:uiPriority w:val="99"/>
    <w:rsid w:val="00A20D85"/>
    <w:rPr>
      <w:rFonts w:ascii="Cambria" w:eastAsia="MS Mincho" w:hAnsi="Cambria" w:cs="Times New Roman"/>
    </w:rPr>
  </w:style>
  <w:style w:type="paragraph" w:styleId="BalloonText">
    <w:name w:val="Balloon Text"/>
    <w:basedOn w:val="Normal"/>
    <w:link w:val="BalloonTextChar"/>
    <w:uiPriority w:val="99"/>
    <w:semiHidden/>
    <w:unhideWhenUsed/>
    <w:rsid w:val="00A20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D85"/>
    <w:rPr>
      <w:rFonts w:ascii="Lucida Grande" w:hAnsi="Lucida Grande" w:cs="Lucida Grande"/>
      <w:sz w:val="18"/>
      <w:szCs w:val="18"/>
      <w:lang w:val="hr-HR"/>
    </w:rPr>
  </w:style>
  <w:style w:type="paragraph" w:styleId="NormalWeb">
    <w:name w:val="Normal (Web)"/>
    <w:basedOn w:val="Normal"/>
    <w:uiPriority w:val="99"/>
    <w:semiHidden/>
    <w:unhideWhenUsed/>
    <w:rsid w:val="007010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10EE"/>
    <w:rPr>
      <w:color w:val="0000FF" w:themeColor="hyperlink"/>
      <w:u w:val="single"/>
    </w:rPr>
  </w:style>
  <w:style w:type="character" w:styleId="FollowedHyperlink">
    <w:name w:val="FollowedHyperlink"/>
    <w:basedOn w:val="DefaultParagraphFont"/>
    <w:uiPriority w:val="99"/>
    <w:semiHidden/>
    <w:unhideWhenUsed/>
    <w:rsid w:val="00A5737A"/>
    <w:rPr>
      <w:color w:val="800080" w:themeColor="followedHyperlink"/>
      <w:u w:val="single"/>
    </w:rPr>
  </w:style>
  <w:style w:type="paragraph" w:styleId="Footer">
    <w:name w:val="footer"/>
    <w:basedOn w:val="Normal"/>
    <w:link w:val="FooterChar"/>
    <w:uiPriority w:val="99"/>
    <w:unhideWhenUsed/>
    <w:rsid w:val="004E62C2"/>
    <w:pPr>
      <w:tabs>
        <w:tab w:val="center" w:pos="4320"/>
        <w:tab w:val="right" w:pos="8640"/>
      </w:tabs>
    </w:pPr>
  </w:style>
  <w:style w:type="character" w:customStyle="1" w:styleId="FooterChar">
    <w:name w:val="Footer Char"/>
    <w:basedOn w:val="DefaultParagraphFont"/>
    <w:link w:val="Footer"/>
    <w:uiPriority w:val="99"/>
    <w:rsid w:val="004E62C2"/>
    <w:rPr>
      <w:lang w:val="hr-HR"/>
    </w:rPr>
  </w:style>
  <w:style w:type="character" w:styleId="PageNumber">
    <w:name w:val="page number"/>
    <w:basedOn w:val="DefaultParagraphFont"/>
    <w:uiPriority w:val="99"/>
    <w:semiHidden/>
    <w:unhideWhenUsed/>
    <w:rsid w:val="004E62C2"/>
  </w:style>
  <w:style w:type="character" w:customStyle="1" w:styleId="s6b621b36">
    <w:name w:val="s6b621b36"/>
    <w:rsid w:val="009C106B"/>
  </w:style>
  <w:style w:type="character" w:styleId="Strong">
    <w:name w:val="Strong"/>
    <w:basedOn w:val="DefaultParagraphFont"/>
    <w:uiPriority w:val="22"/>
    <w:qFormat/>
    <w:rsid w:val="009C2FA5"/>
    <w:rPr>
      <w:b/>
      <w:bCs/>
    </w:rPr>
  </w:style>
  <w:style w:type="paragraph" w:customStyle="1" w:styleId="c01pointnumerotealtn">
    <w:name w:val="c01pointnumerotealtn"/>
    <w:basedOn w:val="Normal"/>
    <w:rsid w:val="00543107"/>
    <w:pPr>
      <w:spacing w:before="100" w:beforeAutospacing="1" w:after="100" w:afterAutospacing="1"/>
    </w:pPr>
    <w:rPr>
      <w:rFonts w:ascii="Times" w:hAnsi="Times"/>
      <w:sz w:val="20"/>
      <w:szCs w:val="20"/>
    </w:rPr>
  </w:style>
  <w:style w:type="paragraph" w:customStyle="1" w:styleId="Default">
    <w:name w:val="Default"/>
    <w:rsid w:val="00EC60E2"/>
    <w:pPr>
      <w:autoSpaceDE w:val="0"/>
      <w:autoSpaceDN w:val="0"/>
      <w:adjustRightInd w:val="0"/>
    </w:pPr>
    <w:rPr>
      <w:rFonts w:ascii="Arial" w:hAnsi="Arial" w:cs="Arial"/>
      <w:color w:val="000000"/>
      <w:lang w:val="hr-HR"/>
    </w:rPr>
  </w:style>
  <w:style w:type="character" w:customStyle="1" w:styleId="outputecli">
    <w:name w:val="outputecli"/>
    <w:basedOn w:val="DefaultParagraphFont"/>
    <w:rsid w:val="00B71336"/>
  </w:style>
  <w:style w:type="character" w:customStyle="1" w:styleId="apple-converted-space">
    <w:name w:val="apple-converted-space"/>
    <w:basedOn w:val="DefaultParagraphFont"/>
    <w:rsid w:val="00590D3F"/>
  </w:style>
  <w:style w:type="character" w:customStyle="1" w:styleId="outputecliaff">
    <w:name w:val="outputecliaff"/>
    <w:basedOn w:val="DefaultParagraphFont"/>
    <w:rsid w:val="00493C0E"/>
  </w:style>
  <w:style w:type="paragraph" w:styleId="CommentSubject">
    <w:name w:val="annotation subject"/>
    <w:basedOn w:val="CommentText"/>
    <w:next w:val="CommentText"/>
    <w:link w:val="CommentSubjectChar"/>
    <w:uiPriority w:val="99"/>
    <w:semiHidden/>
    <w:unhideWhenUsed/>
    <w:rsid w:val="00B84406"/>
    <w:rPr>
      <w:rFonts w:asciiTheme="minorHAnsi" w:eastAsiaTheme="minorEastAsia" w:hAnsiTheme="minorHAnsi" w:cstheme="minorBidi"/>
      <w:b/>
      <w:bCs/>
      <w:sz w:val="20"/>
      <w:szCs w:val="20"/>
      <w:lang w:val="hr-HR"/>
    </w:rPr>
  </w:style>
  <w:style w:type="character" w:customStyle="1" w:styleId="CommentSubjectChar">
    <w:name w:val="Comment Subject Char"/>
    <w:basedOn w:val="CommentTextChar"/>
    <w:link w:val="CommentSubject"/>
    <w:uiPriority w:val="99"/>
    <w:semiHidden/>
    <w:rsid w:val="00B84406"/>
    <w:rPr>
      <w:rFonts w:ascii="Cambria" w:eastAsia="MS Mincho" w:hAnsi="Cambria" w:cs="Times New Roman"/>
      <w:b/>
      <w:bCs/>
      <w:sz w:val="20"/>
      <w:szCs w:val="20"/>
      <w:lang w:val="hr-HR"/>
    </w:rPr>
  </w:style>
  <w:style w:type="paragraph" w:styleId="DocumentMap">
    <w:name w:val="Document Map"/>
    <w:basedOn w:val="Normal"/>
    <w:link w:val="DocumentMapChar"/>
    <w:uiPriority w:val="99"/>
    <w:semiHidden/>
    <w:unhideWhenUsed/>
    <w:rsid w:val="001F49DD"/>
    <w:rPr>
      <w:rFonts w:ascii="Times New Roman" w:hAnsi="Times New Roman" w:cs="Times New Roman"/>
    </w:rPr>
  </w:style>
  <w:style w:type="character" w:customStyle="1" w:styleId="DocumentMapChar">
    <w:name w:val="Document Map Char"/>
    <w:basedOn w:val="DefaultParagraphFont"/>
    <w:link w:val="DocumentMap"/>
    <w:uiPriority w:val="99"/>
    <w:semiHidden/>
    <w:rsid w:val="001F49DD"/>
    <w:rPr>
      <w:rFonts w:ascii="Times New Roman" w:hAnsi="Times New Roman" w:cs="Times New Roman"/>
    </w:rPr>
  </w:style>
  <w:style w:type="paragraph" w:styleId="BodyText">
    <w:name w:val="Body Text"/>
    <w:basedOn w:val="Normal"/>
    <w:link w:val="BodyTextChar"/>
    <w:rsid w:val="007A486E"/>
    <w:pPr>
      <w:spacing w:after="120"/>
    </w:pPr>
    <w:rPr>
      <w:rFonts w:ascii="Arial" w:eastAsia="Times New Roman" w:hAnsi="Arial" w:cs="Times New Roman"/>
      <w:snapToGrid w:val="0"/>
      <w:sz w:val="20"/>
      <w:szCs w:val="20"/>
      <w:lang w:val="en-GB" w:eastAsia="en-US"/>
    </w:rPr>
  </w:style>
  <w:style w:type="character" w:customStyle="1" w:styleId="BodyTextChar">
    <w:name w:val="Body Text Char"/>
    <w:basedOn w:val="DefaultParagraphFont"/>
    <w:link w:val="BodyText"/>
    <w:rsid w:val="007A486E"/>
    <w:rPr>
      <w:rFonts w:ascii="Arial" w:eastAsia="Times New Roman" w:hAnsi="Arial" w:cs="Times New Roman"/>
      <w:snapToGrid w:val="0"/>
      <w:sz w:val="20"/>
      <w:szCs w:val="20"/>
      <w:lang w:val="en-GB" w:eastAsia="en-US"/>
    </w:rPr>
  </w:style>
  <w:style w:type="paragraph" w:styleId="Header">
    <w:name w:val="header"/>
    <w:basedOn w:val="Normal"/>
    <w:link w:val="HeaderChar"/>
    <w:uiPriority w:val="99"/>
    <w:unhideWhenUsed/>
    <w:rsid w:val="000554F9"/>
    <w:pPr>
      <w:tabs>
        <w:tab w:val="center" w:pos="4320"/>
        <w:tab w:val="right" w:pos="8640"/>
      </w:tabs>
    </w:pPr>
  </w:style>
  <w:style w:type="character" w:customStyle="1" w:styleId="HeaderChar">
    <w:name w:val="Header Char"/>
    <w:basedOn w:val="DefaultParagraphFont"/>
    <w:link w:val="Header"/>
    <w:uiPriority w:val="99"/>
    <w:rsid w:val="000554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02B0"/>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rsid w:val="00C502B0"/>
    <w:rPr>
      <w:rFonts w:ascii="Cambria" w:eastAsia="MS Mincho" w:hAnsi="Cambria" w:cs="Times New Roman"/>
      <w:sz w:val="20"/>
      <w:szCs w:val="20"/>
    </w:rPr>
  </w:style>
  <w:style w:type="character" w:styleId="FootnoteReference">
    <w:name w:val="footnote reference"/>
    <w:uiPriority w:val="99"/>
    <w:unhideWhenUsed/>
    <w:rsid w:val="00C502B0"/>
    <w:rPr>
      <w:vertAlign w:val="superscript"/>
    </w:rPr>
  </w:style>
  <w:style w:type="character" w:styleId="CommentReference">
    <w:name w:val="annotation reference"/>
    <w:uiPriority w:val="99"/>
    <w:semiHidden/>
    <w:unhideWhenUsed/>
    <w:rsid w:val="00A20D85"/>
    <w:rPr>
      <w:sz w:val="18"/>
      <w:szCs w:val="18"/>
    </w:rPr>
  </w:style>
  <w:style w:type="paragraph" w:styleId="CommentText">
    <w:name w:val="annotation text"/>
    <w:basedOn w:val="Normal"/>
    <w:link w:val="CommentTextChar"/>
    <w:uiPriority w:val="99"/>
    <w:unhideWhenUsed/>
    <w:rsid w:val="00A20D85"/>
    <w:rPr>
      <w:rFonts w:ascii="Cambria" w:eastAsia="MS Mincho" w:hAnsi="Cambria" w:cs="Times New Roman"/>
    </w:rPr>
  </w:style>
  <w:style w:type="character" w:customStyle="1" w:styleId="CommentTextChar">
    <w:name w:val="Comment Text Char"/>
    <w:basedOn w:val="DefaultParagraphFont"/>
    <w:link w:val="CommentText"/>
    <w:uiPriority w:val="99"/>
    <w:rsid w:val="00A20D85"/>
    <w:rPr>
      <w:rFonts w:ascii="Cambria" w:eastAsia="MS Mincho" w:hAnsi="Cambria" w:cs="Times New Roman"/>
    </w:rPr>
  </w:style>
  <w:style w:type="paragraph" w:styleId="BalloonText">
    <w:name w:val="Balloon Text"/>
    <w:basedOn w:val="Normal"/>
    <w:link w:val="BalloonTextChar"/>
    <w:uiPriority w:val="99"/>
    <w:semiHidden/>
    <w:unhideWhenUsed/>
    <w:rsid w:val="00A20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D85"/>
    <w:rPr>
      <w:rFonts w:ascii="Lucida Grande" w:hAnsi="Lucida Grande" w:cs="Lucida Grande"/>
      <w:sz w:val="18"/>
      <w:szCs w:val="18"/>
      <w:lang w:val="hr-HR"/>
    </w:rPr>
  </w:style>
  <w:style w:type="paragraph" w:styleId="NormalWeb">
    <w:name w:val="Normal (Web)"/>
    <w:basedOn w:val="Normal"/>
    <w:uiPriority w:val="99"/>
    <w:semiHidden/>
    <w:unhideWhenUsed/>
    <w:rsid w:val="007010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10EE"/>
    <w:rPr>
      <w:color w:val="0000FF" w:themeColor="hyperlink"/>
      <w:u w:val="single"/>
    </w:rPr>
  </w:style>
  <w:style w:type="character" w:styleId="FollowedHyperlink">
    <w:name w:val="FollowedHyperlink"/>
    <w:basedOn w:val="DefaultParagraphFont"/>
    <w:uiPriority w:val="99"/>
    <w:semiHidden/>
    <w:unhideWhenUsed/>
    <w:rsid w:val="00A5737A"/>
    <w:rPr>
      <w:color w:val="800080" w:themeColor="followedHyperlink"/>
      <w:u w:val="single"/>
    </w:rPr>
  </w:style>
  <w:style w:type="paragraph" w:styleId="Footer">
    <w:name w:val="footer"/>
    <w:basedOn w:val="Normal"/>
    <w:link w:val="FooterChar"/>
    <w:uiPriority w:val="99"/>
    <w:unhideWhenUsed/>
    <w:rsid w:val="004E62C2"/>
    <w:pPr>
      <w:tabs>
        <w:tab w:val="center" w:pos="4320"/>
        <w:tab w:val="right" w:pos="8640"/>
      </w:tabs>
    </w:pPr>
  </w:style>
  <w:style w:type="character" w:customStyle="1" w:styleId="FooterChar">
    <w:name w:val="Footer Char"/>
    <w:basedOn w:val="DefaultParagraphFont"/>
    <w:link w:val="Footer"/>
    <w:uiPriority w:val="99"/>
    <w:rsid w:val="004E62C2"/>
    <w:rPr>
      <w:lang w:val="hr-HR"/>
    </w:rPr>
  </w:style>
  <w:style w:type="character" w:styleId="PageNumber">
    <w:name w:val="page number"/>
    <w:basedOn w:val="DefaultParagraphFont"/>
    <w:uiPriority w:val="99"/>
    <w:semiHidden/>
    <w:unhideWhenUsed/>
    <w:rsid w:val="004E62C2"/>
  </w:style>
  <w:style w:type="character" w:customStyle="1" w:styleId="s6b621b36">
    <w:name w:val="s6b621b36"/>
    <w:rsid w:val="009C106B"/>
  </w:style>
  <w:style w:type="character" w:styleId="Strong">
    <w:name w:val="Strong"/>
    <w:basedOn w:val="DefaultParagraphFont"/>
    <w:uiPriority w:val="22"/>
    <w:qFormat/>
    <w:rsid w:val="009C2FA5"/>
    <w:rPr>
      <w:b/>
      <w:bCs/>
    </w:rPr>
  </w:style>
  <w:style w:type="paragraph" w:customStyle="1" w:styleId="c01pointnumerotealtn">
    <w:name w:val="c01pointnumerotealtn"/>
    <w:basedOn w:val="Normal"/>
    <w:rsid w:val="00543107"/>
    <w:pPr>
      <w:spacing w:before="100" w:beforeAutospacing="1" w:after="100" w:afterAutospacing="1"/>
    </w:pPr>
    <w:rPr>
      <w:rFonts w:ascii="Times" w:hAnsi="Times"/>
      <w:sz w:val="20"/>
      <w:szCs w:val="20"/>
    </w:rPr>
  </w:style>
  <w:style w:type="paragraph" w:customStyle="1" w:styleId="Default">
    <w:name w:val="Default"/>
    <w:rsid w:val="00EC60E2"/>
    <w:pPr>
      <w:autoSpaceDE w:val="0"/>
      <w:autoSpaceDN w:val="0"/>
      <w:adjustRightInd w:val="0"/>
    </w:pPr>
    <w:rPr>
      <w:rFonts w:ascii="Arial" w:hAnsi="Arial" w:cs="Arial"/>
      <w:color w:val="000000"/>
      <w:lang w:val="hr-HR"/>
    </w:rPr>
  </w:style>
  <w:style w:type="character" w:customStyle="1" w:styleId="outputecli">
    <w:name w:val="outputecli"/>
    <w:basedOn w:val="DefaultParagraphFont"/>
    <w:rsid w:val="00B71336"/>
  </w:style>
  <w:style w:type="character" w:customStyle="1" w:styleId="apple-converted-space">
    <w:name w:val="apple-converted-space"/>
    <w:basedOn w:val="DefaultParagraphFont"/>
    <w:rsid w:val="00590D3F"/>
  </w:style>
  <w:style w:type="character" w:customStyle="1" w:styleId="outputecliaff">
    <w:name w:val="outputecliaff"/>
    <w:basedOn w:val="DefaultParagraphFont"/>
    <w:rsid w:val="00493C0E"/>
  </w:style>
  <w:style w:type="paragraph" w:styleId="CommentSubject">
    <w:name w:val="annotation subject"/>
    <w:basedOn w:val="CommentText"/>
    <w:next w:val="CommentText"/>
    <w:link w:val="CommentSubjectChar"/>
    <w:uiPriority w:val="99"/>
    <w:semiHidden/>
    <w:unhideWhenUsed/>
    <w:rsid w:val="00B84406"/>
    <w:rPr>
      <w:rFonts w:asciiTheme="minorHAnsi" w:eastAsiaTheme="minorEastAsia" w:hAnsiTheme="minorHAnsi" w:cstheme="minorBidi"/>
      <w:b/>
      <w:bCs/>
      <w:sz w:val="20"/>
      <w:szCs w:val="20"/>
      <w:lang w:val="hr-HR"/>
    </w:rPr>
  </w:style>
  <w:style w:type="character" w:customStyle="1" w:styleId="CommentSubjectChar">
    <w:name w:val="Comment Subject Char"/>
    <w:basedOn w:val="CommentTextChar"/>
    <w:link w:val="CommentSubject"/>
    <w:uiPriority w:val="99"/>
    <w:semiHidden/>
    <w:rsid w:val="00B84406"/>
    <w:rPr>
      <w:rFonts w:ascii="Cambria" w:eastAsia="MS Mincho" w:hAnsi="Cambria" w:cs="Times New Roman"/>
      <w:b/>
      <w:bCs/>
      <w:sz w:val="20"/>
      <w:szCs w:val="20"/>
      <w:lang w:val="hr-HR"/>
    </w:rPr>
  </w:style>
  <w:style w:type="paragraph" w:styleId="DocumentMap">
    <w:name w:val="Document Map"/>
    <w:basedOn w:val="Normal"/>
    <w:link w:val="DocumentMapChar"/>
    <w:uiPriority w:val="99"/>
    <w:semiHidden/>
    <w:unhideWhenUsed/>
    <w:rsid w:val="001F49DD"/>
    <w:rPr>
      <w:rFonts w:ascii="Times New Roman" w:hAnsi="Times New Roman" w:cs="Times New Roman"/>
    </w:rPr>
  </w:style>
  <w:style w:type="character" w:customStyle="1" w:styleId="DocumentMapChar">
    <w:name w:val="Document Map Char"/>
    <w:basedOn w:val="DefaultParagraphFont"/>
    <w:link w:val="DocumentMap"/>
    <w:uiPriority w:val="99"/>
    <w:semiHidden/>
    <w:rsid w:val="001F49DD"/>
    <w:rPr>
      <w:rFonts w:ascii="Times New Roman" w:hAnsi="Times New Roman" w:cs="Times New Roman"/>
    </w:rPr>
  </w:style>
  <w:style w:type="paragraph" w:styleId="BodyText">
    <w:name w:val="Body Text"/>
    <w:basedOn w:val="Normal"/>
    <w:link w:val="BodyTextChar"/>
    <w:rsid w:val="007A486E"/>
    <w:pPr>
      <w:spacing w:after="120"/>
    </w:pPr>
    <w:rPr>
      <w:rFonts w:ascii="Arial" w:eastAsia="Times New Roman" w:hAnsi="Arial" w:cs="Times New Roman"/>
      <w:snapToGrid w:val="0"/>
      <w:sz w:val="20"/>
      <w:szCs w:val="20"/>
      <w:lang w:val="en-GB" w:eastAsia="en-US"/>
    </w:rPr>
  </w:style>
  <w:style w:type="character" w:customStyle="1" w:styleId="BodyTextChar">
    <w:name w:val="Body Text Char"/>
    <w:basedOn w:val="DefaultParagraphFont"/>
    <w:link w:val="BodyText"/>
    <w:rsid w:val="007A486E"/>
    <w:rPr>
      <w:rFonts w:ascii="Arial" w:eastAsia="Times New Roman" w:hAnsi="Arial" w:cs="Times New Roman"/>
      <w:snapToGrid w:val="0"/>
      <w:sz w:val="20"/>
      <w:szCs w:val="20"/>
      <w:lang w:val="en-GB" w:eastAsia="en-US"/>
    </w:rPr>
  </w:style>
  <w:style w:type="paragraph" w:styleId="Header">
    <w:name w:val="header"/>
    <w:basedOn w:val="Normal"/>
    <w:link w:val="HeaderChar"/>
    <w:uiPriority w:val="99"/>
    <w:unhideWhenUsed/>
    <w:rsid w:val="000554F9"/>
    <w:pPr>
      <w:tabs>
        <w:tab w:val="center" w:pos="4320"/>
        <w:tab w:val="right" w:pos="8640"/>
      </w:tabs>
    </w:pPr>
  </w:style>
  <w:style w:type="character" w:customStyle="1" w:styleId="HeaderChar">
    <w:name w:val="Header Char"/>
    <w:basedOn w:val="DefaultParagraphFont"/>
    <w:link w:val="Header"/>
    <w:uiPriority w:val="99"/>
    <w:rsid w:val="0005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6259">
      <w:bodyDiv w:val="1"/>
      <w:marLeft w:val="0"/>
      <w:marRight w:val="0"/>
      <w:marTop w:val="0"/>
      <w:marBottom w:val="0"/>
      <w:divBdr>
        <w:top w:val="none" w:sz="0" w:space="0" w:color="auto"/>
        <w:left w:val="none" w:sz="0" w:space="0" w:color="auto"/>
        <w:bottom w:val="none" w:sz="0" w:space="0" w:color="auto"/>
        <w:right w:val="none" w:sz="0" w:space="0" w:color="auto"/>
      </w:divBdr>
      <w:divsChild>
        <w:div w:id="2091465942">
          <w:marLeft w:val="0"/>
          <w:marRight w:val="0"/>
          <w:marTop w:val="0"/>
          <w:marBottom w:val="0"/>
          <w:divBdr>
            <w:top w:val="none" w:sz="0" w:space="0" w:color="auto"/>
            <w:left w:val="none" w:sz="0" w:space="0" w:color="auto"/>
            <w:bottom w:val="none" w:sz="0" w:space="0" w:color="auto"/>
            <w:right w:val="none" w:sz="0" w:space="0" w:color="auto"/>
          </w:divBdr>
          <w:divsChild>
            <w:div w:id="1250770331">
              <w:marLeft w:val="0"/>
              <w:marRight w:val="0"/>
              <w:marTop w:val="0"/>
              <w:marBottom w:val="0"/>
              <w:divBdr>
                <w:top w:val="none" w:sz="0" w:space="0" w:color="auto"/>
                <w:left w:val="none" w:sz="0" w:space="0" w:color="auto"/>
                <w:bottom w:val="none" w:sz="0" w:space="0" w:color="auto"/>
                <w:right w:val="none" w:sz="0" w:space="0" w:color="auto"/>
              </w:divBdr>
              <w:divsChild>
                <w:div w:id="14407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6798">
      <w:bodyDiv w:val="1"/>
      <w:marLeft w:val="0"/>
      <w:marRight w:val="0"/>
      <w:marTop w:val="0"/>
      <w:marBottom w:val="0"/>
      <w:divBdr>
        <w:top w:val="none" w:sz="0" w:space="0" w:color="auto"/>
        <w:left w:val="none" w:sz="0" w:space="0" w:color="auto"/>
        <w:bottom w:val="none" w:sz="0" w:space="0" w:color="auto"/>
        <w:right w:val="none" w:sz="0" w:space="0" w:color="auto"/>
      </w:divBdr>
    </w:div>
    <w:div w:id="170871634">
      <w:bodyDiv w:val="1"/>
      <w:marLeft w:val="0"/>
      <w:marRight w:val="0"/>
      <w:marTop w:val="0"/>
      <w:marBottom w:val="0"/>
      <w:divBdr>
        <w:top w:val="none" w:sz="0" w:space="0" w:color="auto"/>
        <w:left w:val="none" w:sz="0" w:space="0" w:color="auto"/>
        <w:bottom w:val="none" w:sz="0" w:space="0" w:color="auto"/>
        <w:right w:val="none" w:sz="0" w:space="0" w:color="auto"/>
      </w:divBdr>
    </w:div>
    <w:div w:id="302346457">
      <w:bodyDiv w:val="1"/>
      <w:marLeft w:val="0"/>
      <w:marRight w:val="0"/>
      <w:marTop w:val="0"/>
      <w:marBottom w:val="0"/>
      <w:divBdr>
        <w:top w:val="none" w:sz="0" w:space="0" w:color="auto"/>
        <w:left w:val="none" w:sz="0" w:space="0" w:color="auto"/>
        <w:bottom w:val="none" w:sz="0" w:space="0" w:color="auto"/>
        <w:right w:val="none" w:sz="0" w:space="0" w:color="auto"/>
      </w:divBdr>
    </w:div>
    <w:div w:id="351227865">
      <w:bodyDiv w:val="1"/>
      <w:marLeft w:val="0"/>
      <w:marRight w:val="0"/>
      <w:marTop w:val="0"/>
      <w:marBottom w:val="0"/>
      <w:divBdr>
        <w:top w:val="none" w:sz="0" w:space="0" w:color="auto"/>
        <w:left w:val="none" w:sz="0" w:space="0" w:color="auto"/>
        <w:bottom w:val="none" w:sz="0" w:space="0" w:color="auto"/>
        <w:right w:val="none" w:sz="0" w:space="0" w:color="auto"/>
      </w:divBdr>
      <w:divsChild>
        <w:div w:id="1029573717">
          <w:marLeft w:val="0"/>
          <w:marRight w:val="0"/>
          <w:marTop w:val="0"/>
          <w:marBottom w:val="0"/>
          <w:divBdr>
            <w:top w:val="none" w:sz="0" w:space="0" w:color="auto"/>
            <w:left w:val="none" w:sz="0" w:space="0" w:color="auto"/>
            <w:bottom w:val="none" w:sz="0" w:space="0" w:color="auto"/>
            <w:right w:val="none" w:sz="0" w:space="0" w:color="auto"/>
          </w:divBdr>
          <w:divsChild>
            <w:div w:id="1072192266">
              <w:marLeft w:val="0"/>
              <w:marRight w:val="0"/>
              <w:marTop w:val="0"/>
              <w:marBottom w:val="0"/>
              <w:divBdr>
                <w:top w:val="none" w:sz="0" w:space="0" w:color="auto"/>
                <w:left w:val="none" w:sz="0" w:space="0" w:color="auto"/>
                <w:bottom w:val="none" w:sz="0" w:space="0" w:color="auto"/>
                <w:right w:val="none" w:sz="0" w:space="0" w:color="auto"/>
              </w:divBdr>
              <w:divsChild>
                <w:div w:id="10834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73395">
      <w:bodyDiv w:val="1"/>
      <w:marLeft w:val="0"/>
      <w:marRight w:val="0"/>
      <w:marTop w:val="0"/>
      <w:marBottom w:val="0"/>
      <w:divBdr>
        <w:top w:val="none" w:sz="0" w:space="0" w:color="auto"/>
        <w:left w:val="none" w:sz="0" w:space="0" w:color="auto"/>
        <w:bottom w:val="none" w:sz="0" w:space="0" w:color="auto"/>
        <w:right w:val="none" w:sz="0" w:space="0" w:color="auto"/>
      </w:divBdr>
    </w:div>
    <w:div w:id="486362105">
      <w:bodyDiv w:val="1"/>
      <w:marLeft w:val="0"/>
      <w:marRight w:val="0"/>
      <w:marTop w:val="0"/>
      <w:marBottom w:val="0"/>
      <w:divBdr>
        <w:top w:val="none" w:sz="0" w:space="0" w:color="auto"/>
        <w:left w:val="none" w:sz="0" w:space="0" w:color="auto"/>
        <w:bottom w:val="none" w:sz="0" w:space="0" w:color="auto"/>
        <w:right w:val="none" w:sz="0" w:space="0" w:color="auto"/>
      </w:divBdr>
    </w:div>
    <w:div w:id="674766959">
      <w:bodyDiv w:val="1"/>
      <w:marLeft w:val="0"/>
      <w:marRight w:val="0"/>
      <w:marTop w:val="0"/>
      <w:marBottom w:val="0"/>
      <w:divBdr>
        <w:top w:val="none" w:sz="0" w:space="0" w:color="auto"/>
        <w:left w:val="none" w:sz="0" w:space="0" w:color="auto"/>
        <w:bottom w:val="none" w:sz="0" w:space="0" w:color="auto"/>
        <w:right w:val="none" w:sz="0" w:space="0" w:color="auto"/>
      </w:divBdr>
      <w:divsChild>
        <w:div w:id="372854203">
          <w:marLeft w:val="0"/>
          <w:marRight w:val="0"/>
          <w:marTop w:val="0"/>
          <w:marBottom w:val="0"/>
          <w:divBdr>
            <w:top w:val="none" w:sz="0" w:space="0" w:color="auto"/>
            <w:left w:val="none" w:sz="0" w:space="0" w:color="auto"/>
            <w:bottom w:val="none" w:sz="0" w:space="0" w:color="auto"/>
            <w:right w:val="none" w:sz="0" w:space="0" w:color="auto"/>
          </w:divBdr>
          <w:divsChild>
            <w:div w:id="746805942">
              <w:marLeft w:val="0"/>
              <w:marRight w:val="0"/>
              <w:marTop w:val="0"/>
              <w:marBottom w:val="0"/>
              <w:divBdr>
                <w:top w:val="none" w:sz="0" w:space="0" w:color="auto"/>
                <w:left w:val="none" w:sz="0" w:space="0" w:color="auto"/>
                <w:bottom w:val="none" w:sz="0" w:space="0" w:color="auto"/>
                <w:right w:val="none" w:sz="0" w:space="0" w:color="auto"/>
              </w:divBdr>
              <w:divsChild>
                <w:div w:id="522402077">
                  <w:marLeft w:val="0"/>
                  <w:marRight w:val="0"/>
                  <w:marTop w:val="0"/>
                  <w:marBottom w:val="0"/>
                  <w:divBdr>
                    <w:top w:val="none" w:sz="0" w:space="0" w:color="auto"/>
                    <w:left w:val="none" w:sz="0" w:space="0" w:color="auto"/>
                    <w:bottom w:val="none" w:sz="0" w:space="0" w:color="auto"/>
                    <w:right w:val="none" w:sz="0" w:space="0" w:color="auto"/>
                  </w:divBdr>
                  <w:divsChild>
                    <w:div w:id="601188457">
                      <w:marLeft w:val="0"/>
                      <w:marRight w:val="0"/>
                      <w:marTop w:val="0"/>
                      <w:marBottom w:val="0"/>
                      <w:divBdr>
                        <w:top w:val="none" w:sz="0" w:space="0" w:color="auto"/>
                        <w:left w:val="none" w:sz="0" w:space="0" w:color="auto"/>
                        <w:bottom w:val="none" w:sz="0" w:space="0" w:color="auto"/>
                        <w:right w:val="none" w:sz="0" w:space="0" w:color="auto"/>
                      </w:divBdr>
                      <w:divsChild>
                        <w:div w:id="19691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962">
      <w:bodyDiv w:val="1"/>
      <w:marLeft w:val="0"/>
      <w:marRight w:val="0"/>
      <w:marTop w:val="0"/>
      <w:marBottom w:val="0"/>
      <w:divBdr>
        <w:top w:val="none" w:sz="0" w:space="0" w:color="auto"/>
        <w:left w:val="none" w:sz="0" w:space="0" w:color="auto"/>
        <w:bottom w:val="none" w:sz="0" w:space="0" w:color="auto"/>
        <w:right w:val="none" w:sz="0" w:space="0" w:color="auto"/>
      </w:divBdr>
    </w:div>
    <w:div w:id="757601415">
      <w:bodyDiv w:val="1"/>
      <w:marLeft w:val="0"/>
      <w:marRight w:val="0"/>
      <w:marTop w:val="0"/>
      <w:marBottom w:val="0"/>
      <w:divBdr>
        <w:top w:val="none" w:sz="0" w:space="0" w:color="auto"/>
        <w:left w:val="none" w:sz="0" w:space="0" w:color="auto"/>
        <w:bottom w:val="none" w:sz="0" w:space="0" w:color="auto"/>
        <w:right w:val="none" w:sz="0" w:space="0" w:color="auto"/>
      </w:divBdr>
    </w:div>
    <w:div w:id="766312455">
      <w:bodyDiv w:val="1"/>
      <w:marLeft w:val="0"/>
      <w:marRight w:val="0"/>
      <w:marTop w:val="0"/>
      <w:marBottom w:val="0"/>
      <w:divBdr>
        <w:top w:val="none" w:sz="0" w:space="0" w:color="auto"/>
        <w:left w:val="none" w:sz="0" w:space="0" w:color="auto"/>
        <w:bottom w:val="none" w:sz="0" w:space="0" w:color="auto"/>
        <w:right w:val="none" w:sz="0" w:space="0" w:color="auto"/>
      </w:divBdr>
    </w:div>
    <w:div w:id="787898095">
      <w:bodyDiv w:val="1"/>
      <w:marLeft w:val="0"/>
      <w:marRight w:val="0"/>
      <w:marTop w:val="0"/>
      <w:marBottom w:val="0"/>
      <w:divBdr>
        <w:top w:val="none" w:sz="0" w:space="0" w:color="auto"/>
        <w:left w:val="none" w:sz="0" w:space="0" w:color="auto"/>
        <w:bottom w:val="none" w:sz="0" w:space="0" w:color="auto"/>
        <w:right w:val="none" w:sz="0" w:space="0" w:color="auto"/>
      </w:divBdr>
    </w:div>
    <w:div w:id="829102248">
      <w:bodyDiv w:val="1"/>
      <w:marLeft w:val="0"/>
      <w:marRight w:val="0"/>
      <w:marTop w:val="0"/>
      <w:marBottom w:val="0"/>
      <w:divBdr>
        <w:top w:val="none" w:sz="0" w:space="0" w:color="auto"/>
        <w:left w:val="none" w:sz="0" w:space="0" w:color="auto"/>
        <w:bottom w:val="none" w:sz="0" w:space="0" w:color="auto"/>
        <w:right w:val="none" w:sz="0" w:space="0" w:color="auto"/>
      </w:divBdr>
    </w:div>
    <w:div w:id="983511355">
      <w:bodyDiv w:val="1"/>
      <w:marLeft w:val="0"/>
      <w:marRight w:val="0"/>
      <w:marTop w:val="0"/>
      <w:marBottom w:val="0"/>
      <w:divBdr>
        <w:top w:val="none" w:sz="0" w:space="0" w:color="auto"/>
        <w:left w:val="none" w:sz="0" w:space="0" w:color="auto"/>
        <w:bottom w:val="none" w:sz="0" w:space="0" w:color="auto"/>
        <w:right w:val="none" w:sz="0" w:space="0" w:color="auto"/>
      </w:divBdr>
      <w:divsChild>
        <w:div w:id="935819914">
          <w:marLeft w:val="0"/>
          <w:marRight w:val="0"/>
          <w:marTop w:val="0"/>
          <w:marBottom w:val="0"/>
          <w:divBdr>
            <w:top w:val="none" w:sz="0" w:space="0" w:color="auto"/>
            <w:left w:val="none" w:sz="0" w:space="0" w:color="auto"/>
            <w:bottom w:val="none" w:sz="0" w:space="0" w:color="auto"/>
            <w:right w:val="none" w:sz="0" w:space="0" w:color="auto"/>
          </w:divBdr>
          <w:divsChild>
            <w:div w:id="391663916">
              <w:marLeft w:val="0"/>
              <w:marRight w:val="0"/>
              <w:marTop w:val="0"/>
              <w:marBottom w:val="0"/>
              <w:divBdr>
                <w:top w:val="none" w:sz="0" w:space="0" w:color="auto"/>
                <w:left w:val="none" w:sz="0" w:space="0" w:color="auto"/>
                <w:bottom w:val="none" w:sz="0" w:space="0" w:color="auto"/>
                <w:right w:val="none" w:sz="0" w:space="0" w:color="auto"/>
              </w:divBdr>
              <w:divsChild>
                <w:div w:id="13788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8801">
      <w:bodyDiv w:val="1"/>
      <w:marLeft w:val="0"/>
      <w:marRight w:val="0"/>
      <w:marTop w:val="0"/>
      <w:marBottom w:val="0"/>
      <w:divBdr>
        <w:top w:val="none" w:sz="0" w:space="0" w:color="auto"/>
        <w:left w:val="none" w:sz="0" w:space="0" w:color="auto"/>
        <w:bottom w:val="none" w:sz="0" w:space="0" w:color="auto"/>
        <w:right w:val="none" w:sz="0" w:space="0" w:color="auto"/>
      </w:divBdr>
    </w:div>
    <w:div w:id="1210386935">
      <w:bodyDiv w:val="1"/>
      <w:marLeft w:val="0"/>
      <w:marRight w:val="0"/>
      <w:marTop w:val="0"/>
      <w:marBottom w:val="0"/>
      <w:divBdr>
        <w:top w:val="none" w:sz="0" w:space="0" w:color="auto"/>
        <w:left w:val="none" w:sz="0" w:space="0" w:color="auto"/>
        <w:bottom w:val="none" w:sz="0" w:space="0" w:color="auto"/>
        <w:right w:val="none" w:sz="0" w:space="0" w:color="auto"/>
      </w:divBdr>
      <w:divsChild>
        <w:div w:id="86079592">
          <w:marLeft w:val="0"/>
          <w:marRight w:val="0"/>
          <w:marTop w:val="0"/>
          <w:marBottom w:val="0"/>
          <w:divBdr>
            <w:top w:val="none" w:sz="0" w:space="0" w:color="auto"/>
            <w:left w:val="none" w:sz="0" w:space="0" w:color="auto"/>
            <w:bottom w:val="none" w:sz="0" w:space="0" w:color="auto"/>
            <w:right w:val="none" w:sz="0" w:space="0" w:color="auto"/>
          </w:divBdr>
          <w:divsChild>
            <w:div w:id="1167744180">
              <w:marLeft w:val="0"/>
              <w:marRight w:val="0"/>
              <w:marTop w:val="0"/>
              <w:marBottom w:val="0"/>
              <w:divBdr>
                <w:top w:val="none" w:sz="0" w:space="0" w:color="auto"/>
                <w:left w:val="none" w:sz="0" w:space="0" w:color="auto"/>
                <w:bottom w:val="none" w:sz="0" w:space="0" w:color="auto"/>
                <w:right w:val="none" w:sz="0" w:space="0" w:color="auto"/>
              </w:divBdr>
              <w:divsChild>
                <w:div w:id="5897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1257">
      <w:bodyDiv w:val="1"/>
      <w:marLeft w:val="0"/>
      <w:marRight w:val="0"/>
      <w:marTop w:val="0"/>
      <w:marBottom w:val="0"/>
      <w:divBdr>
        <w:top w:val="none" w:sz="0" w:space="0" w:color="auto"/>
        <w:left w:val="none" w:sz="0" w:space="0" w:color="auto"/>
        <w:bottom w:val="none" w:sz="0" w:space="0" w:color="auto"/>
        <w:right w:val="none" w:sz="0" w:space="0" w:color="auto"/>
      </w:divBdr>
      <w:divsChild>
        <w:div w:id="659041729">
          <w:marLeft w:val="0"/>
          <w:marRight w:val="0"/>
          <w:marTop w:val="0"/>
          <w:marBottom w:val="0"/>
          <w:divBdr>
            <w:top w:val="none" w:sz="0" w:space="0" w:color="auto"/>
            <w:left w:val="none" w:sz="0" w:space="0" w:color="auto"/>
            <w:bottom w:val="none" w:sz="0" w:space="0" w:color="auto"/>
            <w:right w:val="none" w:sz="0" w:space="0" w:color="auto"/>
          </w:divBdr>
          <w:divsChild>
            <w:div w:id="1716154964">
              <w:marLeft w:val="0"/>
              <w:marRight w:val="0"/>
              <w:marTop w:val="0"/>
              <w:marBottom w:val="0"/>
              <w:divBdr>
                <w:top w:val="none" w:sz="0" w:space="0" w:color="auto"/>
                <w:left w:val="none" w:sz="0" w:space="0" w:color="auto"/>
                <w:bottom w:val="none" w:sz="0" w:space="0" w:color="auto"/>
                <w:right w:val="none" w:sz="0" w:space="0" w:color="auto"/>
              </w:divBdr>
              <w:divsChild>
                <w:div w:id="12317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3992">
      <w:bodyDiv w:val="1"/>
      <w:marLeft w:val="0"/>
      <w:marRight w:val="0"/>
      <w:marTop w:val="0"/>
      <w:marBottom w:val="0"/>
      <w:divBdr>
        <w:top w:val="none" w:sz="0" w:space="0" w:color="auto"/>
        <w:left w:val="none" w:sz="0" w:space="0" w:color="auto"/>
        <w:bottom w:val="none" w:sz="0" w:space="0" w:color="auto"/>
        <w:right w:val="none" w:sz="0" w:space="0" w:color="auto"/>
      </w:divBdr>
    </w:div>
    <w:div w:id="1398554334">
      <w:bodyDiv w:val="1"/>
      <w:marLeft w:val="0"/>
      <w:marRight w:val="0"/>
      <w:marTop w:val="0"/>
      <w:marBottom w:val="0"/>
      <w:divBdr>
        <w:top w:val="none" w:sz="0" w:space="0" w:color="auto"/>
        <w:left w:val="none" w:sz="0" w:space="0" w:color="auto"/>
        <w:bottom w:val="none" w:sz="0" w:space="0" w:color="auto"/>
        <w:right w:val="none" w:sz="0" w:space="0" w:color="auto"/>
      </w:divBdr>
      <w:divsChild>
        <w:div w:id="814613871">
          <w:marLeft w:val="432"/>
          <w:marRight w:val="0"/>
          <w:marTop w:val="120"/>
          <w:marBottom w:val="0"/>
          <w:divBdr>
            <w:top w:val="none" w:sz="0" w:space="0" w:color="auto"/>
            <w:left w:val="none" w:sz="0" w:space="0" w:color="auto"/>
            <w:bottom w:val="none" w:sz="0" w:space="0" w:color="auto"/>
            <w:right w:val="none" w:sz="0" w:space="0" w:color="auto"/>
          </w:divBdr>
        </w:div>
        <w:div w:id="69884977">
          <w:marLeft w:val="432"/>
          <w:marRight w:val="0"/>
          <w:marTop w:val="120"/>
          <w:marBottom w:val="0"/>
          <w:divBdr>
            <w:top w:val="none" w:sz="0" w:space="0" w:color="auto"/>
            <w:left w:val="none" w:sz="0" w:space="0" w:color="auto"/>
            <w:bottom w:val="none" w:sz="0" w:space="0" w:color="auto"/>
            <w:right w:val="none" w:sz="0" w:space="0" w:color="auto"/>
          </w:divBdr>
        </w:div>
        <w:div w:id="162665876">
          <w:marLeft w:val="432"/>
          <w:marRight w:val="0"/>
          <w:marTop w:val="120"/>
          <w:marBottom w:val="0"/>
          <w:divBdr>
            <w:top w:val="none" w:sz="0" w:space="0" w:color="auto"/>
            <w:left w:val="none" w:sz="0" w:space="0" w:color="auto"/>
            <w:bottom w:val="none" w:sz="0" w:space="0" w:color="auto"/>
            <w:right w:val="none" w:sz="0" w:space="0" w:color="auto"/>
          </w:divBdr>
        </w:div>
      </w:divsChild>
    </w:div>
    <w:div w:id="1423406982">
      <w:bodyDiv w:val="1"/>
      <w:marLeft w:val="0"/>
      <w:marRight w:val="0"/>
      <w:marTop w:val="0"/>
      <w:marBottom w:val="0"/>
      <w:divBdr>
        <w:top w:val="none" w:sz="0" w:space="0" w:color="auto"/>
        <w:left w:val="none" w:sz="0" w:space="0" w:color="auto"/>
        <w:bottom w:val="none" w:sz="0" w:space="0" w:color="auto"/>
        <w:right w:val="none" w:sz="0" w:space="0" w:color="auto"/>
      </w:divBdr>
    </w:div>
    <w:div w:id="1447844254">
      <w:bodyDiv w:val="1"/>
      <w:marLeft w:val="0"/>
      <w:marRight w:val="0"/>
      <w:marTop w:val="0"/>
      <w:marBottom w:val="0"/>
      <w:divBdr>
        <w:top w:val="none" w:sz="0" w:space="0" w:color="auto"/>
        <w:left w:val="none" w:sz="0" w:space="0" w:color="auto"/>
        <w:bottom w:val="none" w:sz="0" w:space="0" w:color="auto"/>
        <w:right w:val="none" w:sz="0" w:space="0" w:color="auto"/>
      </w:divBdr>
    </w:div>
    <w:div w:id="1511292623">
      <w:bodyDiv w:val="1"/>
      <w:marLeft w:val="0"/>
      <w:marRight w:val="0"/>
      <w:marTop w:val="0"/>
      <w:marBottom w:val="0"/>
      <w:divBdr>
        <w:top w:val="none" w:sz="0" w:space="0" w:color="auto"/>
        <w:left w:val="none" w:sz="0" w:space="0" w:color="auto"/>
        <w:bottom w:val="none" w:sz="0" w:space="0" w:color="auto"/>
        <w:right w:val="none" w:sz="0" w:space="0" w:color="auto"/>
      </w:divBdr>
      <w:divsChild>
        <w:div w:id="2066875371">
          <w:marLeft w:val="432"/>
          <w:marRight w:val="0"/>
          <w:marTop w:val="120"/>
          <w:marBottom w:val="0"/>
          <w:divBdr>
            <w:top w:val="none" w:sz="0" w:space="0" w:color="auto"/>
            <w:left w:val="none" w:sz="0" w:space="0" w:color="auto"/>
            <w:bottom w:val="none" w:sz="0" w:space="0" w:color="auto"/>
            <w:right w:val="none" w:sz="0" w:space="0" w:color="auto"/>
          </w:divBdr>
        </w:div>
      </w:divsChild>
    </w:div>
    <w:div w:id="1535076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9" Type="http://schemas.openxmlformats.org/officeDocument/2006/relationships/hyperlink" Target="https://www.euractiv.com/section/global-europe/news/balkan-route-closed-after-cascade-of-border-shutdowns/" TargetMode="External"/><Relationship Id="rId20" Type="http://schemas.openxmlformats.org/officeDocument/2006/relationships/hyperlink" Target="http://www.asylumineurope.org/sites/default/files/report-download/aida_hr_2016update.pdf" TargetMode="External"/><Relationship Id="rId21" Type="http://schemas.openxmlformats.org/officeDocument/2006/relationships/hyperlink" Target="http://www.asylumineurope.org/sites/default/files/report-download/aida_hr_2016update.pdf" TargetMode="External"/><Relationship Id="rId22" Type="http://schemas.openxmlformats.org/officeDocument/2006/relationships/hyperlink" Target="http://www.asylumineurope.org/sites/default/files/report-download/aida_hr_2016update.pdf" TargetMode="External"/><Relationship Id="rId23" Type="http://schemas.openxmlformats.org/officeDocument/2006/relationships/hyperlink" Target="http://ec.europa.eu/eurostat/statistics-explained/index.php/Asylum_statistics" TargetMode="External"/><Relationship Id="rId24" Type="http://schemas.openxmlformats.org/officeDocument/2006/relationships/hyperlink" Target="http://www.asylumineurope.org/sites/default/files/report-download/aida_hr_2016update.pdf" TargetMode="External"/><Relationship Id="rId10" Type="http://schemas.openxmlformats.org/officeDocument/2006/relationships/hyperlink" Target="http://www.unhcr.org/577220cf7.pdf" TargetMode="External"/><Relationship Id="rId11" Type="http://schemas.openxmlformats.org/officeDocument/2006/relationships/hyperlink" Target="https://www.mup.hr/novosti/364/priopcenje-za-javnost" TargetMode="External"/><Relationship Id="rId12" Type="http://schemas.openxmlformats.org/officeDocument/2006/relationships/hyperlink" Target="http://frontex.europa.eu/assets/Publications/Risk_Analysis/Annual_Risk_Analysis_2017.pdf" TargetMode="External"/><Relationship Id="rId13" Type="http://schemas.openxmlformats.org/officeDocument/2006/relationships/hyperlink" Target="http://ec.europa.eu/eurostat/documents/2995521/6751779/3-20032015-BP-EN.pdf/35e04263-2db5-4e75-b3d3-6b086b23ef2b" TargetMode="External"/><Relationship Id="rId14" Type="http://schemas.openxmlformats.org/officeDocument/2006/relationships/hyperlink" Target="http://ec.europa.eu/eurostat/documents/2995521/7921609/3-16032017-BP-EN.pdf/e5fa98bb-5d9d-4297-9168-d07c67d1c9e1" TargetMode="External"/><Relationship Id="rId15" Type="http://schemas.openxmlformats.org/officeDocument/2006/relationships/hyperlink" Target="http://ec.europa.eu/eurostat/statistics-explained/index.php/Asylum_statistics" TargetMode="External"/><Relationship Id="rId16" Type="http://schemas.openxmlformats.org/officeDocument/2006/relationships/hyperlink" Target="http://ec.europa.eu/eurostat/statistics-explained/index.php/Asylum_statistics" TargetMode="External"/><Relationship Id="rId17" Type="http://schemas.openxmlformats.org/officeDocument/2006/relationships/hyperlink" Target="http://ec.europa.eu/eurostat/statistics-explained/index.php/Asylum_statistics" TargetMode="External"/><Relationship Id="rId18" Type="http://schemas.openxmlformats.org/officeDocument/2006/relationships/hyperlink" Target="http://ec.europa.eu/eurostat/statistics-explained/index.php/Dublin_statistics_on_countries_responsible_for_asylum_application" TargetMode="External"/><Relationship Id="rId19" Type="http://schemas.openxmlformats.org/officeDocument/2006/relationships/hyperlink" Target="http://www.asylumineurope.org/sites/default/files/report-download/aida_hr_2016update.pdf" TargetMode="External"/><Relationship Id="rId1" Type="http://schemas.openxmlformats.org/officeDocument/2006/relationships/hyperlink" Target="http://library.fes.de/pdf-files/bueros/kroatien/13059.pdf" TargetMode="External"/><Relationship Id="rId2" Type="http://schemas.openxmlformats.org/officeDocument/2006/relationships/hyperlink" Target="https://www.theguardian.com/world/2016/jan/20/balkan-states-attempt-to-limit-numbers-of-refugees-claiming-asylum" TargetMode="External"/><Relationship Id="rId3" Type="http://schemas.openxmlformats.org/officeDocument/2006/relationships/hyperlink" Target="https://www.theguardian.com/world/2016/feb/18/austria-dismisses-criticism-of-its-plan-to-limit-daily-refugee-numbers" TargetMode="External"/><Relationship Id="rId4" Type="http://schemas.openxmlformats.org/officeDocument/2006/relationships/hyperlink" Target="https://www.theguardian.com/world/2016/feb/26/croatia-slovenia-limits-refugee-numbers-europe-greece" TargetMode="External"/><Relationship Id="rId5" Type="http://schemas.openxmlformats.org/officeDocument/2006/relationships/hyperlink" Target="https://euobserver.com/migration/131192" TargetMode="External"/><Relationship Id="rId6" Type="http://schemas.openxmlformats.org/officeDocument/2006/relationships/hyperlink" Target="https://www.mup.hr/UserDocsImages/topvijesti/2016/veljaca/migranti_sastanak/joint_statement.pdf" TargetMode="External"/><Relationship Id="rId7" Type="http://schemas.openxmlformats.org/officeDocument/2006/relationships/hyperlink" Target="http://www.consilium.europa.eu/en/press/press-releases/2016/03/18-eu-turkey-statement/" TargetMode="External"/><Relationship Id="rId8" Type="http://schemas.openxmlformats.org/officeDocument/2006/relationships/hyperlink" Target="http://www.consilium.europa.eu/en/press/press-releases/2016/03/07-eu-turkey-meeting-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7C06-6E90-F84A-B922-2016BADD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7305</Words>
  <Characters>37479</Characters>
  <Application>Microsoft Macintosh Word</Application>
  <DocSecurity>0</DocSecurity>
  <Lines>780</Lines>
  <Paragraphs>160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Goldner Lang</dc:creator>
  <cp:lastModifiedBy>Iris Goldner Lang</cp:lastModifiedBy>
  <cp:revision>2</cp:revision>
  <dcterms:created xsi:type="dcterms:W3CDTF">2018-12-19T18:07:00Z</dcterms:created>
  <dcterms:modified xsi:type="dcterms:W3CDTF">2018-12-19T18:07:00Z</dcterms:modified>
</cp:coreProperties>
</file>