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F5FF" w14:textId="77777777" w:rsidR="00573975" w:rsidRPr="00B67949" w:rsidRDefault="00EF6B9F" w:rsidP="007D6865">
      <w:pPr>
        <w:pStyle w:val="Naslov1"/>
        <w:rPr>
          <w:noProof/>
          <w:lang w:val="en-GB"/>
        </w:rPr>
      </w:pPr>
      <w:r w:rsidRPr="00B67949">
        <w:rPr>
          <w:noProof/>
          <w:lang w:val="en-GB"/>
        </w:rPr>
        <w:t xml:space="preserve">The </w:t>
      </w:r>
      <w:r w:rsidR="00767DB2" w:rsidRPr="00B67949">
        <w:rPr>
          <w:noProof/>
          <w:lang w:val="en-GB"/>
        </w:rPr>
        <w:t>effect</w:t>
      </w:r>
      <w:r w:rsidRPr="00B67949">
        <w:rPr>
          <w:noProof/>
          <w:lang w:val="en-GB"/>
        </w:rPr>
        <w:t xml:space="preserve"> of GHR gene</w:t>
      </w:r>
      <w:r w:rsidR="00BD3989" w:rsidRPr="00B67949">
        <w:rPr>
          <w:noProof/>
          <w:lang w:val="en-GB"/>
        </w:rPr>
        <w:t xml:space="preserve"> polymorphism</w:t>
      </w:r>
      <w:r w:rsidRPr="00B67949">
        <w:rPr>
          <w:noProof/>
          <w:lang w:val="en-GB"/>
        </w:rPr>
        <w:t xml:space="preserve"> on </w:t>
      </w:r>
      <w:r w:rsidR="00767DB2" w:rsidRPr="00B67949">
        <w:rPr>
          <w:noProof/>
          <w:lang w:val="en-GB"/>
        </w:rPr>
        <w:t xml:space="preserve">growth and </w:t>
      </w:r>
      <w:r w:rsidR="00BD3989" w:rsidRPr="00B67949">
        <w:rPr>
          <w:noProof/>
          <w:lang w:val="en-GB"/>
        </w:rPr>
        <w:t>carcass quality</w:t>
      </w:r>
      <w:r w:rsidR="00767DB2" w:rsidRPr="00B67949">
        <w:rPr>
          <w:noProof/>
          <w:lang w:val="en-GB"/>
        </w:rPr>
        <w:t xml:space="preserve"> of heifers</w:t>
      </w:r>
    </w:p>
    <w:p w14:paraId="6971052F" w14:textId="77777777" w:rsidR="000B0277" w:rsidRPr="00B67949" w:rsidRDefault="000B0277" w:rsidP="000B0277">
      <w:pPr>
        <w:rPr>
          <w:lang w:val="en-GB"/>
        </w:rPr>
      </w:pPr>
    </w:p>
    <w:p w14:paraId="2FE0DC34" w14:textId="77777777" w:rsidR="0062339D" w:rsidRPr="00B67949" w:rsidRDefault="00671EAC" w:rsidP="0062339D">
      <w:pPr>
        <w:pStyle w:val="Autori"/>
        <w:rPr>
          <w:vertAlign w:val="superscript"/>
          <w:lang w:val="en-GB"/>
        </w:rPr>
      </w:pPr>
      <w:r w:rsidRPr="00B67949">
        <w:rPr>
          <w:lang w:val="en-GB"/>
        </w:rPr>
        <w:t>Mateja Pećina</w:t>
      </w:r>
      <w:r w:rsidR="0062339D" w:rsidRPr="00B67949">
        <w:rPr>
          <w:vertAlign w:val="superscript"/>
          <w:lang w:val="en-GB"/>
        </w:rPr>
        <w:t>1</w:t>
      </w:r>
      <w:r w:rsidR="0062339D" w:rsidRPr="00B67949">
        <w:rPr>
          <w:lang w:val="en-GB"/>
        </w:rPr>
        <w:t xml:space="preserve">, </w:t>
      </w:r>
      <w:r w:rsidRPr="00B67949">
        <w:rPr>
          <w:lang w:val="en-GB"/>
        </w:rPr>
        <w:t>Ante Ivanković</w:t>
      </w:r>
      <w:r w:rsidRPr="00B67949">
        <w:rPr>
          <w:vertAlign w:val="superscript"/>
          <w:lang w:val="en-GB"/>
        </w:rPr>
        <w:t>1</w:t>
      </w:r>
      <w:r w:rsidR="0062339D" w:rsidRPr="00B67949">
        <w:rPr>
          <w:lang w:val="en-GB"/>
        </w:rPr>
        <w:t xml:space="preserve">, </w:t>
      </w:r>
      <w:r w:rsidR="00D27A18" w:rsidRPr="00B67949">
        <w:rPr>
          <w:lang w:val="en-GB"/>
        </w:rPr>
        <w:t>Valentino Držaić</w:t>
      </w:r>
      <w:r w:rsidR="0062339D" w:rsidRPr="00B67949">
        <w:rPr>
          <w:vertAlign w:val="superscript"/>
          <w:lang w:val="en-GB"/>
        </w:rPr>
        <w:t>1</w:t>
      </w:r>
      <w:r w:rsidR="0062339D" w:rsidRPr="00B67949">
        <w:rPr>
          <w:lang w:val="en-GB"/>
        </w:rPr>
        <w:t xml:space="preserve">, </w:t>
      </w:r>
      <w:r w:rsidR="00D27A18" w:rsidRPr="00B67949">
        <w:rPr>
          <w:lang w:val="en-GB"/>
        </w:rPr>
        <w:t>Miljenko Konjačić</w:t>
      </w:r>
      <w:r w:rsidR="00D27A18" w:rsidRPr="00B67949">
        <w:rPr>
          <w:vertAlign w:val="superscript"/>
          <w:lang w:val="en-GB"/>
        </w:rPr>
        <w:t>1</w:t>
      </w:r>
      <w:r w:rsidR="0062339D" w:rsidRPr="00B67949">
        <w:rPr>
          <w:lang w:val="en-GB"/>
        </w:rPr>
        <w:t xml:space="preserve">, </w:t>
      </w:r>
      <w:r w:rsidR="00D27A18" w:rsidRPr="00B67949">
        <w:rPr>
          <w:lang w:val="en-GB"/>
        </w:rPr>
        <w:t>Jelena Ramljak</w:t>
      </w:r>
      <w:r w:rsidR="00D27A18" w:rsidRPr="00B67949">
        <w:rPr>
          <w:vertAlign w:val="superscript"/>
          <w:lang w:val="en-GB"/>
        </w:rPr>
        <w:t>1</w:t>
      </w:r>
      <w:r w:rsidR="00D27A18" w:rsidRPr="00B67949">
        <w:rPr>
          <w:lang w:val="en-GB"/>
        </w:rPr>
        <w:t>, Nikolina Kelava Ugarković</w:t>
      </w:r>
      <w:r w:rsidR="00D27A18" w:rsidRPr="00B67949">
        <w:rPr>
          <w:vertAlign w:val="superscript"/>
          <w:lang w:val="en-GB"/>
        </w:rPr>
        <w:t>1</w:t>
      </w:r>
    </w:p>
    <w:p w14:paraId="606C8198" w14:textId="77777777" w:rsidR="00D27A18" w:rsidRPr="00B67949" w:rsidRDefault="00D27A18" w:rsidP="0062339D">
      <w:pPr>
        <w:pStyle w:val="Autori"/>
        <w:rPr>
          <w:lang w:val="en-GB"/>
        </w:rPr>
      </w:pPr>
    </w:p>
    <w:p w14:paraId="3DB481BB" w14:textId="77777777" w:rsidR="0062339D" w:rsidRPr="00B67949" w:rsidRDefault="00D27A18" w:rsidP="0062339D">
      <w:pPr>
        <w:pStyle w:val="adresa"/>
        <w:rPr>
          <w:lang w:val="en-GB"/>
        </w:rPr>
      </w:pPr>
      <w:r w:rsidRPr="00B67949">
        <w:rPr>
          <w:vertAlign w:val="superscript"/>
          <w:lang w:val="en-GB"/>
        </w:rPr>
        <w:t>1</w:t>
      </w:r>
      <w:r w:rsidR="004258B3" w:rsidRPr="00B67949">
        <w:rPr>
          <w:lang w:val="en-GB"/>
        </w:rPr>
        <w:t>Department of Animal S</w:t>
      </w:r>
      <w:r w:rsidR="00243FE9" w:rsidRPr="00B67949">
        <w:rPr>
          <w:lang w:val="en-GB"/>
        </w:rPr>
        <w:t xml:space="preserve">cience and </w:t>
      </w:r>
      <w:r w:rsidR="004258B3" w:rsidRPr="00B67949">
        <w:rPr>
          <w:lang w:val="en-GB"/>
        </w:rPr>
        <w:t>T</w:t>
      </w:r>
      <w:r w:rsidR="00243FE9" w:rsidRPr="00B67949">
        <w:rPr>
          <w:lang w:val="en-GB"/>
        </w:rPr>
        <w:t>echnology,</w:t>
      </w:r>
      <w:r w:rsidR="004258B3" w:rsidRPr="00B67949">
        <w:rPr>
          <w:lang w:val="en-GB"/>
        </w:rPr>
        <w:t xml:space="preserve"> </w:t>
      </w:r>
      <w:r w:rsidR="00243FE9" w:rsidRPr="00B67949">
        <w:rPr>
          <w:lang w:val="en-GB"/>
        </w:rPr>
        <w:t xml:space="preserve">University of Zagreb Faculty of Agriculture, </w:t>
      </w:r>
      <w:r w:rsidR="0062339D" w:rsidRPr="00B67949">
        <w:rPr>
          <w:lang w:val="en-GB"/>
        </w:rPr>
        <w:t>Svetošimunska 25,</w:t>
      </w:r>
      <w:r w:rsidR="00243FE9" w:rsidRPr="00B67949">
        <w:rPr>
          <w:lang w:val="en-GB"/>
        </w:rPr>
        <w:t xml:space="preserve"> 10 000</w:t>
      </w:r>
      <w:r w:rsidR="0062339D" w:rsidRPr="00B67949">
        <w:rPr>
          <w:lang w:val="en-GB"/>
        </w:rPr>
        <w:t xml:space="preserve"> Zagreb, </w:t>
      </w:r>
      <w:r w:rsidR="00243FE9" w:rsidRPr="00B67949">
        <w:rPr>
          <w:lang w:val="en-GB"/>
        </w:rPr>
        <w:t>Croatia</w:t>
      </w:r>
      <w:r w:rsidR="00001B98" w:rsidRPr="00B67949">
        <w:rPr>
          <w:lang w:val="en-GB"/>
        </w:rPr>
        <w:t xml:space="preserve"> </w:t>
      </w:r>
      <w:r w:rsidR="004258B3" w:rsidRPr="00B67949">
        <w:rPr>
          <w:lang w:val="en-GB"/>
        </w:rPr>
        <w:t>(</w:t>
      </w:r>
      <w:r w:rsidR="00001B98" w:rsidRPr="00B67949">
        <w:rPr>
          <w:lang w:val="en-GB"/>
        </w:rPr>
        <w:t>e-mail: aivankovic@agr.hr)</w:t>
      </w:r>
    </w:p>
    <w:p w14:paraId="50E1B0C9" w14:textId="77777777" w:rsidR="0062339D" w:rsidRPr="00B67949" w:rsidRDefault="0062339D" w:rsidP="0062339D">
      <w:pPr>
        <w:rPr>
          <w:noProof/>
          <w:szCs w:val="24"/>
          <w:lang w:val="en-GB"/>
        </w:rPr>
      </w:pPr>
    </w:p>
    <w:p w14:paraId="7D47DE4A" w14:textId="77777777" w:rsidR="007D6865" w:rsidRPr="00B67949" w:rsidRDefault="00EF6B9F" w:rsidP="007D6865">
      <w:pPr>
        <w:rPr>
          <w:b/>
          <w:noProof/>
          <w:szCs w:val="24"/>
          <w:lang w:val="en-GB"/>
        </w:rPr>
      </w:pPr>
      <w:r w:rsidRPr="00B67949">
        <w:rPr>
          <w:b/>
          <w:noProof/>
          <w:szCs w:val="24"/>
          <w:lang w:val="en-GB"/>
        </w:rPr>
        <w:t>Abstract</w:t>
      </w:r>
      <w:r w:rsidR="00FB227A" w:rsidRPr="00B67949">
        <w:rPr>
          <w:b/>
          <w:noProof/>
          <w:szCs w:val="24"/>
          <w:lang w:val="en-GB"/>
        </w:rPr>
        <w:t xml:space="preserve"> </w:t>
      </w:r>
    </w:p>
    <w:p w14:paraId="4927C3D4" w14:textId="79C8BC14" w:rsidR="00875D29" w:rsidRPr="00BF378B" w:rsidRDefault="00875D29" w:rsidP="0062339D">
      <w:pPr>
        <w:pStyle w:val="Tijeloteksta"/>
        <w:spacing w:line="240" w:lineRule="auto"/>
        <w:rPr>
          <w:bCs/>
          <w:lang w:val="en-GB"/>
        </w:rPr>
      </w:pPr>
      <w:bookmarkStart w:id="0" w:name="_Hlk527454247"/>
      <w:r w:rsidRPr="00B67949">
        <w:rPr>
          <w:bCs/>
          <w:lang w:val="en-GB"/>
        </w:rPr>
        <w:t xml:space="preserve">This research was done to determinate the allele variants of the GHR gene in the </w:t>
      </w:r>
      <w:r w:rsidR="007017E7" w:rsidRPr="00B67949">
        <w:rPr>
          <w:bCs/>
          <w:lang w:val="en-GB"/>
        </w:rPr>
        <w:t xml:space="preserve">heifer </w:t>
      </w:r>
      <w:r w:rsidRPr="00B67949">
        <w:rPr>
          <w:bCs/>
          <w:lang w:val="en-GB"/>
        </w:rPr>
        <w:t xml:space="preserve">population of Simmental and Simmental x Holstein </w:t>
      </w:r>
      <w:r w:rsidR="007017E7" w:rsidRPr="00B67949">
        <w:rPr>
          <w:bCs/>
          <w:lang w:val="en-GB"/>
        </w:rPr>
        <w:t>crosses</w:t>
      </w:r>
      <w:r w:rsidR="008D2D7D" w:rsidRPr="00B67949">
        <w:rPr>
          <w:bCs/>
          <w:lang w:val="en-GB"/>
        </w:rPr>
        <w:t xml:space="preserve">. </w:t>
      </w:r>
      <w:r w:rsidR="00844BE6" w:rsidRPr="00B67949">
        <w:rPr>
          <w:bCs/>
          <w:lang w:val="en-GB"/>
        </w:rPr>
        <w:t>Furthermore</w:t>
      </w:r>
      <w:r w:rsidR="008D2D7D" w:rsidRPr="00B67949">
        <w:rPr>
          <w:bCs/>
          <w:lang w:val="en-GB"/>
        </w:rPr>
        <w:t>,</w:t>
      </w:r>
      <w:r w:rsidRPr="00B67949">
        <w:rPr>
          <w:bCs/>
          <w:lang w:val="en-GB"/>
        </w:rPr>
        <w:t xml:space="preserve"> </w:t>
      </w:r>
      <w:r w:rsidR="00844BE6" w:rsidRPr="00B67949">
        <w:rPr>
          <w:bCs/>
          <w:lang w:val="en-GB"/>
        </w:rPr>
        <w:t xml:space="preserve">next objective was to determinate </w:t>
      </w:r>
      <w:r w:rsidR="007017E7" w:rsidRPr="00B67949">
        <w:rPr>
          <w:bCs/>
          <w:lang w:val="en-GB"/>
        </w:rPr>
        <w:t>effect of</w:t>
      </w:r>
      <w:r w:rsidR="00844BE6" w:rsidRPr="00B67949">
        <w:rPr>
          <w:bCs/>
          <w:lang w:val="en-GB"/>
        </w:rPr>
        <w:t xml:space="preserve"> GHR genotypes </w:t>
      </w:r>
      <w:r w:rsidR="007017E7" w:rsidRPr="00B67949">
        <w:rPr>
          <w:bCs/>
          <w:lang w:val="en-GB"/>
        </w:rPr>
        <w:t xml:space="preserve">on </w:t>
      </w:r>
      <w:r w:rsidRPr="00B67949">
        <w:rPr>
          <w:bCs/>
          <w:lang w:val="en-GB"/>
        </w:rPr>
        <w:t xml:space="preserve">growth characteristics, carcasses and meat quality. </w:t>
      </w:r>
      <w:r w:rsidR="00781A38">
        <w:rPr>
          <w:lang w:val="en-US"/>
        </w:rPr>
        <w:t xml:space="preserve">In </w:t>
      </w:r>
      <w:proofErr w:type="spellStart"/>
      <w:r w:rsidR="00781A38">
        <w:rPr>
          <w:lang w:val="en-US"/>
        </w:rPr>
        <w:t>analysed</w:t>
      </w:r>
      <w:proofErr w:type="spellEnd"/>
      <w:r w:rsidR="00781A38">
        <w:rPr>
          <w:lang w:val="en-US"/>
        </w:rPr>
        <w:t xml:space="preserve"> population</w:t>
      </w:r>
      <w:r w:rsidR="00781A38" w:rsidRPr="007F0B48">
        <w:rPr>
          <w:lang w:val="en-US"/>
        </w:rPr>
        <w:t xml:space="preserve"> frequencies of </w:t>
      </w:r>
      <w:r w:rsidR="00781A38">
        <w:rPr>
          <w:lang w:val="en-US"/>
        </w:rPr>
        <w:t xml:space="preserve">GHR </w:t>
      </w:r>
      <w:r w:rsidR="00781A38" w:rsidRPr="007F0B48">
        <w:rPr>
          <w:lang w:val="en-US"/>
        </w:rPr>
        <w:t xml:space="preserve">genotypes were: </w:t>
      </w:r>
      <w:r w:rsidR="00781A38">
        <w:rPr>
          <w:lang w:val="en-US"/>
        </w:rPr>
        <w:t>AA</w:t>
      </w:r>
      <w:r w:rsidR="00781A38" w:rsidRPr="007F0B48">
        <w:rPr>
          <w:lang w:val="en-US"/>
        </w:rPr>
        <w:t xml:space="preserve"> (0.</w:t>
      </w:r>
      <w:r w:rsidR="00781A38">
        <w:rPr>
          <w:lang w:val="en-US"/>
        </w:rPr>
        <w:t>468</w:t>
      </w:r>
      <w:r w:rsidR="00781A38" w:rsidRPr="007F0B48">
        <w:rPr>
          <w:lang w:val="en-US"/>
        </w:rPr>
        <w:t>)</w:t>
      </w:r>
      <w:r w:rsidR="00781A38">
        <w:rPr>
          <w:lang w:val="en-US"/>
        </w:rPr>
        <w:t xml:space="preserve">, </w:t>
      </w:r>
      <w:r w:rsidR="00781A38" w:rsidRPr="007F0B48">
        <w:rPr>
          <w:lang w:val="en-US"/>
        </w:rPr>
        <w:t>GA (0.</w:t>
      </w:r>
      <w:r w:rsidR="00781A38">
        <w:rPr>
          <w:lang w:val="en-US"/>
        </w:rPr>
        <w:t>426</w:t>
      </w:r>
      <w:r w:rsidR="00781A38" w:rsidRPr="007F0B48">
        <w:rPr>
          <w:lang w:val="en-US"/>
        </w:rPr>
        <w:t xml:space="preserve">), </w:t>
      </w:r>
      <w:r w:rsidR="00781A38">
        <w:rPr>
          <w:lang w:val="en-US"/>
        </w:rPr>
        <w:t>and GG (0.106).</w:t>
      </w:r>
      <w:r w:rsidR="00781A38" w:rsidRPr="007F0B48">
        <w:rPr>
          <w:lang w:val="en-US"/>
        </w:rPr>
        <w:t xml:space="preserve"> Based on the determined genotypes, the allelic frequencies were as follows: A (0.</w:t>
      </w:r>
      <w:r w:rsidR="00781A38">
        <w:rPr>
          <w:lang w:val="en-US"/>
        </w:rPr>
        <w:t xml:space="preserve">681) and </w:t>
      </w:r>
      <w:r w:rsidR="00781A38" w:rsidRPr="007F0B48">
        <w:rPr>
          <w:lang w:val="en-US"/>
        </w:rPr>
        <w:t>G (0.</w:t>
      </w:r>
      <w:r w:rsidR="00781A38">
        <w:rPr>
          <w:lang w:val="en-US"/>
        </w:rPr>
        <w:t xml:space="preserve">319). </w:t>
      </w:r>
      <w:r w:rsidR="00781A38">
        <w:rPr>
          <w:bCs/>
          <w:lang w:val="en-GB"/>
        </w:rPr>
        <w:t>Statistically significant p</w:t>
      </w:r>
      <w:r w:rsidR="00EB4B7A" w:rsidRPr="00B67949">
        <w:rPr>
          <w:bCs/>
          <w:lang w:val="en-GB"/>
        </w:rPr>
        <w:t xml:space="preserve">ositive </w:t>
      </w:r>
      <w:r w:rsidR="00712ED5" w:rsidRPr="00B67949">
        <w:rPr>
          <w:bCs/>
          <w:lang w:val="en-GB"/>
        </w:rPr>
        <w:t>effect</w:t>
      </w:r>
      <w:r w:rsidR="00EB4B7A" w:rsidRPr="00B67949">
        <w:rPr>
          <w:bCs/>
          <w:lang w:val="en-GB"/>
        </w:rPr>
        <w:t xml:space="preserve"> </w:t>
      </w:r>
      <w:r w:rsidR="00712ED5" w:rsidRPr="00B67949">
        <w:rPr>
          <w:bCs/>
          <w:lang w:val="en-GB"/>
        </w:rPr>
        <w:t xml:space="preserve">of </w:t>
      </w:r>
      <w:r w:rsidR="00EB4B7A" w:rsidRPr="00B67949">
        <w:rPr>
          <w:bCs/>
          <w:lang w:val="en-GB"/>
        </w:rPr>
        <w:t>GHR</w:t>
      </w:r>
      <w:r w:rsidR="00EB4B7A" w:rsidRPr="00B67949">
        <w:rPr>
          <w:bCs/>
          <w:vertAlign w:val="superscript"/>
          <w:lang w:val="en-GB"/>
        </w:rPr>
        <w:t>GG</w:t>
      </w:r>
      <w:r w:rsidR="006A7CE4" w:rsidRPr="00B67949">
        <w:rPr>
          <w:bCs/>
          <w:lang w:val="en-GB"/>
        </w:rPr>
        <w:t xml:space="preserve"> </w:t>
      </w:r>
      <w:r w:rsidR="00EB4B7A" w:rsidRPr="00B67949">
        <w:rPr>
          <w:bCs/>
          <w:lang w:val="en-GB"/>
        </w:rPr>
        <w:t>genotype</w:t>
      </w:r>
      <w:r w:rsidR="006A7CE4" w:rsidRPr="00B67949">
        <w:rPr>
          <w:bCs/>
          <w:lang w:val="en-GB"/>
        </w:rPr>
        <w:t xml:space="preserve"> </w:t>
      </w:r>
      <w:r w:rsidR="00781A38">
        <w:rPr>
          <w:bCs/>
          <w:lang w:val="en-GB"/>
        </w:rPr>
        <w:t>was observed for higher n</w:t>
      </w:r>
      <w:r w:rsidR="00EB4B7A" w:rsidRPr="00B67949">
        <w:rPr>
          <w:bCs/>
          <w:lang w:val="en-GB"/>
        </w:rPr>
        <w:t>et daily gain</w:t>
      </w:r>
      <w:r w:rsidR="00781A38">
        <w:rPr>
          <w:bCs/>
          <w:lang w:val="en-GB"/>
        </w:rPr>
        <w:t xml:space="preserve"> and </w:t>
      </w:r>
      <w:r w:rsidR="00781A38" w:rsidRPr="00B67949">
        <w:rPr>
          <w:bCs/>
          <w:lang w:val="en-GB"/>
        </w:rPr>
        <w:t xml:space="preserve">muscle </w:t>
      </w:r>
      <w:r w:rsidR="00781A38">
        <w:rPr>
          <w:bCs/>
          <w:lang w:val="en-GB"/>
        </w:rPr>
        <w:t xml:space="preserve">tissue percentage, and lower fat tissue percentage. </w:t>
      </w:r>
      <w:r w:rsidRPr="00B67949">
        <w:rPr>
          <w:noProof/>
          <w:lang w:val="en-GB"/>
        </w:rPr>
        <w:t xml:space="preserve">Results indicate the potential </w:t>
      </w:r>
      <w:r w:rsidRPr="00B67949">
        <w:rPr>
          <w:lang w:val="en-GB"/>
        </w:rPr>
        <w:t>usage of GHR gene variants in cattle selection associated to carcass and meat quality.</w:t>
      </w:r>
    </w:p>
    <w:bookmarkEnd w:id="0"/>
    <w:p w14:paraId="15907B1A" w14:textId="77777777" w:rsidR="004B4DF7" w:rsidRPr="00B67949" w:rsidRDefault="004B4DF7" w:rsidP="0062339D">
      <w:pPr>
        <w:pStyle w:val="Tijeloteksta"/>
        <w:spacing w:line="240" w:lineRule="auto"/>
        <w:rPr>
          <w:bCs/>
          <w:lang w:val="en-GB"/>
        </w:rPr>
      </w:pPr>
    </w:p>
    <w:p w14:paraId="62CF5B2D" w14:textId="3A3B729A" w:rsidR="000B0277" w:rsidRPr="00B67949" w:rsidRDefault="005B2151" w:rsidP="007D6865">
      <w:pPr>
        <w:rPr>
          <w:noProof/>
          <w:szCs w:val="24"/>
          <w:lang w:val="en-GB"/>
        </w:rPr>
      </w:pPr>
      <w:r w:rsidRPr="00B67949">
        <w:rPr>
          <w:b/>
          <w:noProof/>
          <w:szCs w:val="24"/>
          <w:lang w:val="en-GB"/>
        </w:rPr>
        <w:t>Key words</w:t>
      </w:r>
      <w:r w:rsidR="007D6865" w:rsidRPr="00B67949">
        <w:rPr>
          <w:noProof/>
          <w:szCs w:val="24"/>
          <w:lang w:val="en-GB"/>
        </w:rPr>
        <w:t xml:space="preserve">: </w:t>
      </w:r>
      <w:r w:rsidR="003273DD" w:rsidRPr="00B67949">
        <w:rPr>
          <w:noProof/>
          <w:szCs w:val="24"/>
          <w:lang w:val="en-GB"/>
        </w:rPr>
        <w:t xml:space="preserve">GHR gene, </w:t>
      </w:r>
      <w:r w:rsidR="00233FD0" w:rsidRPr="00B67949">
        <w:rPr>
          <w:noProof/>
          <w:szCs w:val="24"/>
          <w:lang w:val="en-GB"/>
        </w:rPr>
        <w:t>polymorphism</w:t>
      </w:r>
      <w:r w:rsidR="00483937" w:rsidRPr="00B67949">
        <w:rPr>
          <w:noProof/>
          <w:szCs w:val="24"/>
          <w:lang w:val="en-GB"/>
        </w:rPr>
        <w:t xml:space="preserve">, </w:t>
      </w:r>
      <w:r w:rsidR="00665890" w:rsidRPr="00B67949">
        <w:rPr>
          <w:noProof/>
          <w:szCs w:val="24"/>
          <w:lang w:val="en-GB"/>
        </w:rPr>
        <w:t xml:space="preserve">growth, </w:t>
      </w:r>
      <w:r w:rsidR="006A7CE4" w:rsidRPr="00B67949">
        <w:rPr>
          <w:noProof/>
          <w:szCs w:val="24"/>
          <w:lang w:val="en-GB"/>
        </w:rPr>
        <w:t>car</w:t>
      </w:r>
      <w:r w:rsidR="00D508D1">
        <w:rPr>
          <w:noProof/>
          <w:szCs w:val="24"/>
          <w:lang w:val="en-GB"/>
        </w:rPr>
        <w:t>cass</w:t>
      </w:r>
      <w:r w:rsidR="005F1A88">
        <w:rPr>
          <w:noProof/>
          <w:szCs w:val="24"/>
          <w:lang w:val="en-GB"/>
        </w:rPr>
        <w:t xml:space="preserve"> </w:t>
      </w:r>
      <w:r w:rsidR="00483937" w:rsidRPr="00B67949">
        <w:rPr>
          <w:noProof/>
          <w:szCs w:val="24"/>
          <w:lang w:val="en-GB"/>
        </w:rPr>
        <w:t>quality</w:t>
      </w:r>
    </w:p>
    <w:p w14:paraId="47E9B92B" w14:textId="77777777" w:rsidR="003C0BBA" w:rsidRPr="00B67949" w:rsidRDefault="003C0BBA" w:rsidP="007D6865">
      <w:pPr>
        <w:rPr>
          <w:noProof/>
          <w:szCs w:val="24"/>
          <w:lang w:val="en-GB"/>
        </w:rPr>
      </w:pPr>
    </w:p>
    <w:p w14:paraId="6C718F12" w14:textId="77777777" w:rsidR="000B0277" w:rsidRPr="00B67949" w:rsidRDefault="00F062A3" w:rsidP="000B0277">
      <w:pPr>
        <w:rPr>
          <w:b/>
          <w:noProof/>
          <w:szCs w:val="24"/>
          <w:lang w:val="en-GB"/>
        </w:rPr>
      </w:pPr>
      <w:r w:rsidRPr="00B67949">
        <w:rPr>
          <w:b/>
          <w:noProof/>
          <w:szCs w:val="24"/>
          <w:lang w:val="en-GB"/>
        </w:rPr>
        <w:t>Introduction</w:t>
      </w:r>
    </w:p>
    <w:p w14:paraId="5B8A8752" w14:textId="1F18CA68" w:rsidR="00B5423E" w:rsidRPr="00B67949" w:rsidRDefault="00310CBB" w:rsidP="000B0277">
      <w:pPr>
        <w:rPr>
          <w:noProof/>
          <w:szCs w:val="24"/>
          <w:lang w:val="en-GB"/>
        </w:rPr>
      </w:pPr>
      <w:r w:rsidRPr="00B67949">
        <w:rPr>
          <w:noProof/>
          <w:szCs w:val="24"/>
          <w:lang w:val="en-GB"/>
        </w:rPr>
        <w:t xml:space="preserve">In the last decade selection in cattle breeding </w:t>
      </w:r>
      <w:r w:rsidR="00394292" w:rsidRPr="00B67949">
        <w:rPr>
          <w:noProof/>
          <w:szCs w:val="24"/>
          <w:lang w:val="en-GB"/>
        </w:rPr>
        <w:t xml:space="preserve">relay on </w:t>
      </w:r>
      <w:r w:rsidRPr="00B67949">
        <w:rPr>
          <w:noProof/>
          <w:szCs w:val="24"/>
          <w:lang w:val="en-GB"/>
        </w:rPr>
        <w:t xml:space="preserve">genomics and direct selection to </w:t>
      </w:r>
      <w:r w:rsidR="00394292" w:rsidRPr="00B67949">
        <w:rPr>
          <w:noProof/>
          <w:szCs w:val="24"/>
          <w:lang w:val="en-GB"/>
        </w:rPr>
        <w:t xml:space="preserve">determine </w:t>
      </w:r>
      <w:r w:rsidRPr="00B67949">
        <w:rPr>
          <w:noProof/>
          <w:szCs w:val="24"/>
          <w:lang w:val="en-GB"/>
        </w:rPr>
        <w:t xml:space="preserve">variants of polymorphic genes. </w:t>
      </w:r>
      <w:r w:rsidR="00914507" w:rsidRPr="00B67949">
        <w:rPr>
          <w:noProof/>
          <w:szCs w:val="24"/>
          <w:lang w:val="en-GB"/>
        </w:rPr>
        <w:t xml:space="preserve">Beef production is </w:t>
      </w:r>
      <w:r w:rsidR="00394292" w:rsidRPr="00B67949">
        <w:rPr>
          <w:noProof/>
          <w:szCs w:val="24"/>
          <w:lang w:val="en-GB"/>
        </w:rPr>
        <w:t>generated on</w:t>
      </w:r>
      <w:r w:rsidR="007B1914" w:rsidRPr="00B67949">
        <w:rPr>
          <w:noProof/>
          <w:szCs w:val="24"/>
          <w:lang w:val="en-GB"/>
        </w:rPr>
        <w:t xml:space="preserve"> genetic basis and non-genetic factors </w:t>
      </w:r>
      <w:r w:rsidR="00AA57F7" w:rsidRPr="00B67949">
        <w:rPr>
          <w:noProof/>
          <w:szCs w:val="24"/>
          <w:lang w:val="en-GB"/>
        </w:rPr>
        <w:t>that</w:t>
      </w:r>
      <w:r w:rsidR="007B1914" w:rsidRPr="00B67949">
        <w:rPr>
          <w:noProof/>
          <w:szCs w:val="24"/>
          <w:lang w:val="en-GB"/>
        </w:rPr>
        <w:t xml:space="preserve"> affects body conformation, growth dynamics and meat quality</w:t>
      </w:r>
      <w:r w:rsidR="009F7F2D" w:rsidRPr="00B67949">
        <w:rPr>
          <w:noProof/>
          <w:szCs w:val="24"/>
          <w:lang w:val="en-GB"/>
        </w:rPr>
        <w:t xml:space="preserve"> which</w:t>
      </w:r>
      <w:r w:rsidR="00495DB5" w:rsidRPr="00B67949">
        <w:rPr>
          <w:noProof/>
          <w:szCs w:val="24"/>
          <w:lang w:val="en-GB"/>
        </w:rPr>
        <w:t xml:space="preserve"> </w:t>
      </w:r>
      <w:r w:rsidR="009F7F2D" w:rsidRPr="00B67949">
        <w:rPr>
          <w:noProof/>
          <w:szCs w:val="24"/>
          <w:lang w:val="en-GB"/>
        </w:rPr>
        <w:t>i</w:t>
      </w:r>
      <w:r w:rsidR="009B4116" w:rsidRPr="00B67949">
        <w:rPr>
          <w:noProof/>
          <w:szCs w:val="24"/>
          <w:lang w:val="en-GB"/>
        </w:rPr>
        <w:t>n economically developed countries</w:t>
      </w:r>
      <w:r w:rsidR="009F7F2D" w:rsidRPr="00B67949">
        <w:rPr>
          <w:noProof/>
          <w:szCs w:val="24"/>
          <w:lang w:val="en-GB"/>
        </w:rPr>
        <w:t xml:space="preserve"> turns the</w:t>
      </w:r>
      <w:r w:rsidR="009B4116" w:rsidRPr="00B67949">
        <w:rPr>
          <w:noProof/>
          <w:szCs w:val="24"/>
          <w:lang w:val="en-GB"/>
        </w:rPr>
        <w:t xml:space="preserve"> consumers attention</w:t>
      </w:r>
      <w:r w:rsidR="009F7F2D" w:rsidRPr="00B67949">
        <w:rPr>
          <w:noProof/>
          <w:szCs w:val="24"/>
          <w:lang w:val="en-GB"/>
        </w:rPr>
        <w:t>.</w:t>
      </w:r>
      <w:r w:rsidR="006A7CE4" w:rsidRPr="00B67949">
        <w:rPr>
          <w:noProof/>
          <w:szCs w:val="24"/>
          <w:lang w:val="en-GB"/>
        </w:rPr>
        <w:t xml:space="preserve"> </w:t>
      </w:r>
      <w:r w:rsidR="009F7F2D" w:rsidRPr="00B67949">
        <w:rPr>
          <w:noProof/>
          <w:szCs w:val="24"/>
          <w:lang w:val="en-GB"/>
        </w:rPr>
        <w:t>Growth hormone receptor (GHR)</w:t>
      </w:r>
      <w:r w:rsidR="00724E02" w:rsidRPr="00B67949">
        <w:rPr>
          <w:noProof/>
          <w:szCs w:val="24"/>
          <w:lang w:val="en-GB"/>
        </w:rPr>
        <w:t xml:space="preserve"> is </w:t>
      </w:r>
      <w:r w:rsidR="00F529C0" w:rsidRPr="00B67949">
        <w:rPr>
          <w:noProof/>
          <w:szCs w:val="24"/>
          <w:lang w:val="en-GB"/>
        </w:rPr>
        <w:t>considered a</w:t>
      </w:r>
      <w:r w:rsidR="00394292" w:rsidRPr="00B67949">
        <w:rPr>
          <w:noProof/>
          <w:szCs w:val="24"/>
          <w:lang w:val="en-GB"/>
        </w:rPr>
        <w:t>s a</w:t>
      </w:r>
      <w:r w:rsidR="00F529C0" w:rsidRPr="00B67949">
        <w:rPr>
          <w:noProof/>
          <w:szCs w:val="24"/>
          <w:lang w:val="en-GB"/>
        </w:rPr>
        <w:t xml:space="preserve"> strong and functional</w:t>
      </w:r>
      <w:r w:rsidR="00724E02" w:rsidRPr="00B67949">
        <w:rPr>
          <w:noProof/>
          <w:szCs w:val="24"/>
          <w:lang w:val="en-GB"/>
        </w:rPr>
        <w:t xml:space="preserve"> candidate gene for which is assumed to have a significant role in cattle metabolism</w:t>
      </w:r>
      <w:r w:rsidR="00394292" w:rsidRPr="00B67949">
        <w:rPr>
          <w:noProof/>
          <w:szCs w:val="24"/>
          <w:lang w:val="en-GB"/>
        </w:rPr>
        <w:t xml:space="preserve">, have </w:t>
      </w:r>
      <w:r w:rsidR="00694A50" w:rsidRPr="00B67949">
        <w:rPr>
          <w:noProof/>
          <w:szCs w:val="24"/>
          <w:lang w:val="en-GB"/>
        </w:rPr>
        <w:t>affects in metabolic process</w:t>
      </w:r>
      <w:r w:rsidR="00394292" w:rsidRPr="00B67949">
        <w:rPr>
          <w:noProof/>
          <w:szCs w:val="24"/>
          <w:lang w:val="en-GB"/>
        </w:rPr>
        <w:t>es</w:t>
      </w:r>
      <w:r w:rsidR="00694A50" w:rsidRPr="00B67949">
        <w:rPr>
          <w:noProof/>
          <w:szCs w:val="24"/>
          <w:lang w:val="en-GB"/>
        </w:rPr>
        <w:t xml:space="preserve"> and growth of the organism</w:t>
      </w:r>
      <w:r w:rsidR="00176A57" w:rsidRPr="00B67949">
        <w:rPr>
          <w:noProof/>
          <w:szCs w:val="24"/>
          <w:lang w:val="en-GB"/>
        </w:rPr>
        <w:t xml:space="preserve">. </w:t>
      </w:r>
      <w:r w:rsidR="00B5423E" w:rsidRPr="00B67949">
        <w:rPr>
          <w:noProof/>
          <w:szCs w:val="24"/>
          <w:lang w:val="en-GB"/>
        </w:rPr>
        <w:t>The bovine GHR gene has been mapped to BTA 20 and</w:t>
      </w:r>
      <w:r w:rsidR="007933AE" w:rsidRPr="00B67949">
        <w:rPr>
          <w:noProof/>
          <w:szCs w:val="24"/>
          <w:lang w:val="en-GB"/>
        </w:rPr>
        <w:t xml:space="preserve"> several polymorphism have been identified (</w:t>
      </w:r>
      <w:r w:rsidR="00B14790" w:rsidRPr="00B67949">
        <w:rPr>
          <w:lang w:val="en-GB"/>
        </w:rPr>
        <w:t xml:space="preserve">Lucy et al., 1998; </w:t>
      </w:r>
      <w:r w:rsidR="007933AE" w:rsidRPr="00B67949">
        <w:rPr>
          <w:lang w:val="en-GB"/>
        </w:rPr>
        <w:t>Hale et al.</w:t>
      </w:r>
      <w:r w:rsidR="00B14790" w:rsidRPr="00B67949">
        <w:rPr>
          <w:lang w:val="en-GB"/>
        </w:rPr>
        <w:t xml:space="preserve">, </w:t>
      </w:r>
      <w:r w:rsidR="007933AE" w:rsidRPr="00B67949">
        <w:rPr>
          <w:lang w:val="en-GB"/>
        </w:rPr>
        <w:t>2000</w:t>
      </w:r>
      <w:r w:rsidR="00A1598A" w:rsidRPr="00B67949">
        <w:rPr>
          <w:lang w:val="en-GB"/>
        </w:rPr>
        <w:t xml:space="preserve">). </w:t>
      </w:r>
      <w:r w:rsidR="007933AE" w:rsidRPr="00B67949">
        <w:rPr>
          <w:lang w:val="en-GB"/>
        </w:rPr>
        <w:t>Ge et al.</w:t>
      </w:r>
      <w:r w:rsidR="00A1598A" w:rsidRPr="00B67949">
        <w:rPr>
          <w:lang w:val="en-GB"/>
        </w:rPr>
        <w:t xml:space="preserve"> (</w:t>
      </w:r>
      <w:r w:rsidR="007933AE" w:rsidRPr="00B67949">
        <w:rPr>
          <w:lang w:val="en-GB"/>
        </w:rPr>
        <w:t>2000)</w:t>
      </w:r>
      <w:r w:rsidR="00A1598A" w:rsidRPr="00B67949">
        <w:rPr>
          <w:lang w:val="en-GB"/>
        </w:rPr>
        <w:t xml:space="preserve"> reported single nucleotide polymorphism (SNP) at position 257</w:t>
      </w:r>
      <w:r w:rsidR="00826C06" w:rsidRPr="00B67949">
        <w:rPr>
          <w:lang w:val="en-GB"/>
        </w:rPr>
        <w:t xml:space="preserve"> (A/G)</w:t>
      </w:r>
      <w:r w:rsidR="00A1598A" w:rsidRPr="00B67949">
        <w:rPr>
          <w:lang w:val="en-GB"/>
        </w:rPr>
        <w:t xml:space="preserve"> in exon 10 </w:t>
      </w:r>
      <w:r w:rsidR="00826C06" w:rsidRPr="00B67949">
        <w:rPr>
          <w:noProof/>
          <w:szCs w:val="24"/>
          <w:lang w:val="en-GB"/>
        </w:rPr>
        <w:t>inducing an amino acid substitution of serine/glycine at protein position 555 (S555G)</w:t>
      </w:r>
      <w:r w:rsidR="00B14790" w:rsidRPr="00B67949">
        <w:rPr>
          <w:lang w:val="en-GB"/>
        </w:rPr>
        <w:t xml:space="preserve">. </w:t>
      </w:r>
      <w:r w:rsidR="00826C06" w:rsidRPr="00B67949">
        <w:rPr>
          <w:lang w:val="en-GB"/>
        </w:rPr>
        <w:t xml:space="preserve">Exon 10 of the GHR gene is </w:t>
      </w:r>
      <w:proofErr w:type="spellStart"/>
      <w:r w:rsidR="00826C06" w:rsidRPr="00B67949">
        <w:rPr>
          <w:lang w:val="en-GB"/>
        </w:rPr>
        <w:t>respons</w:t>
      </w:r>
      <w:r w:rsidR="00B67949">
        <w:rPr>
          <w:lang w:val="en-GB"/>
        </w:rPr>
        <w:t>a</w:t>
      </w:r>
      <w:r w:rsidR="00826C06" w:rsidRPr="00B67949">
        <w:rPr>
          <w:lang w:val="en-GB"/>
        </w:rPr>
        <w:t>ble</w:t>
      </w:r>
      <w:proofErr w:type="spellEnd"/>
      <w:r w:rsidR="00826C06" w:rsidRPr="00B67949">
        <w:rPr>
          <w:lang w:val="en-GB"/>
        </w:rPr>
        <w:t xml:space="preserve"> for coding the cytoplasmic domain of the GHR. </w:t>
      </w:r>
      <w:r w:rsidR="00B14790" w:rsidRPr="00B67949">
        <w:rPr>
          <w:noProof/>
          <w:szCs w:val="24"/>
          <w:lang w:val="en-GB"/>
        </w:rPr>
        <w:t xml:space="preserve">Polymorphisms in GHR have been found to be associated with drip loss (Di Stasio et al., 2005), marbling (Han et al., 2009) and some tehnological and sensory meat traits (Reardon et al., 2010). The aim of this study was to determine the </w:t>
      </w:r>
      <w:r w:rsidR="000C0D82" w:rsidRPr="00B67949">
        <w:rPr>
          <w:noProof/>
          <w:szCs w:val="24"/>
          <w:lang w:val="en-GB"/>
        </w:rPr>
        <w:t xml:space="preserve">effect </w:t>
      </w:r>
      <w:r w:rsidR="00B14790" w:rsidRPr="00B67949">
        <w:rPr>
          <w:noProof/>
          <w:szCs w:val="24"/>
          <w:lang w:val="en-GB"/>
        </w:rPr>
        <w:t xml:space="preserve">of the GHR gene on growth performance, carcass and meat quality of heifers. </w:t>
      </w:r>
    </w:p>
    <w:p w14:paraId="6C763046" w14:textId="77777777" w:rsidR="007B1914" w:rsidRPr="00B67949" w:rsidRDefault="007B1914" w:rsidP="000B0277">
      <w:pPr>
        <w:rPr>
          <w:lang w:val="en-GB"/>
        </w:rPr>
      </w:pPr>
    </w:p>
    <w:p w14:paraId="0D26E552" w14:textId="77777777" w:rsidR="00BF4388" w:rsidRPr="00B67949" w:rsidRDefault="005A56E4" w:rsidP="00BF4388">
      <w:pPr>
        <w:rPr>
          <w:b/>
          <w:noProof/>
          <w:szCs w:val="24"/>
          <w:lang w:val="en-GB"/>
        </w:rPr>
      </w:pPr>
      <w:r w:rsidRPr="00B67949">
        <w:rPr>
          <w:b/>
          <w:noProof/>
          <w:szCs w:val="24"/>
          <w:lang w:val="en-GB"/>
        </w:rPr>
        <w:t>Material and methods</w:t>
      </w:r>
    </w:p>
    <w:p w14:paraId="28381FE1" w14:textId="77777777" w:rsidR="00F6552C" w:rsidRPr="00B67949" w:rsidRDefault="00370D0C" w:rsidP="00DB2F4D">
      <w:pPr>
        <w:rPr>
          <w:noProof/>
          <w:lang w:val="en-GB"/>
        </w:rPr>
      </w:pPr>
      <w:r w:rsidRPr="00B67949">
        <w:rPr>
          <w:noProof/>
          <w:lang w:val="en-GB"/>
        </w:rPr>
        <w:t>The research included sample</w:t>
      </w:r>
      <w:r w:rsidR="00AA6266" w:rsidRPr="00B67949">
        <w:rPr>
          <w:noProof/>
          <w:lang w:val="en-GB"/>
        </w:rPr>
        <w:t>s</w:t>
      </w:r>
      <w:r w:rsidRPr="00B67949">
        <w:rPr>
          <w:noProof/>
          <w:lang w:val="en-GB"/>
        </w:rPr>
        <w:t xml:space="preserve"> of forty seven </w:t>
      </w:r>
      <w:r w:rsidR="00665890" w:rsidRPr="00B67949">
        <w:rPr>
          <w:noProof/>
          <w:lang w:val="en-GB"/>
        </w:rPr>
        <w:t xml:space="preserve">Simmental and </w:t>
      </w:r>
      <w:r w:rsidR="00336FDA" w:rsidRPr="00B67949">
        <w:rPr>
          <w:noProof/>
          <w:lang w:val="en-GB"/>
        </w:rPr>
        <w:t xml:space="preserve">crosses of </w:t>
      </w:r>
      <w:r w:rsidR="00665890" w:rsidRPr="00B67949">
        <w:rPr>
          <w:noProof/>
          <w:lang w:val="en-GB"/>
        </w:rPr>
        <w:t xml:space="preserve">Simmental x Holstein </w:t>
      </w:r>
      <w:r w:rsidR="006A7CE4" w:rsidRPr="00B67949">
        <w:rPr>
          <w:noProof/>
          <w:lang w:val="en-GB"/>
        </w:rPr>
        <w:t>hei</w:t>
      </w:r>
      <w:r w:rsidR="00336FDA" w:rsidRPr="00B67949">
        <w:rPr>
          <w:noProof/>
          <w:lang w:val="en-GB"/>
        </w:rPr>
        <w:t>f</w:t>
      </w:r>
      <w:r w:rsidR="006A7CE4" w:rsidRPr="00B67949">
        <w:rPr>
          <w:noProof/>
          <w:lang w:val="en-GB"/>
        </w:rPr>
        <w:t>ers</w:t>
      </w:r>
      <w:r w:rsidRPr="00B67949">
        <w:rPr>
          <w:noProof/>
          <w:lang w:val="en-GB"/>
        </w:rPr>
        <w:t>.</w:t>
      </w:r>
      <w:r w:rsidR="00665890" w:rsidRPr="00B67949">
        <w:rPr>
          <w:noProof/>
          <w:lang w:val="en-GB"/>
        </w:rPr>
        <w:t xml:space="preserve"> </w:t>
      </w:r>
      <w:r w:rsidR="00E81204" w:rsidRPr="00B67949">
        <w:rPr>
          <w:noProof/>
          <w:lang w:val="en-GB"/>
        </w:rPr>
        <w:t>Animlas</w:t>
      </w:r>
      <w:r w:rsidR="0099392B" w:rsidRPr="00B67949">
        <w:rPr>
          <w:noProof/>
          <w:lang w:val="en-GB"/>
        </w:rPr>
        <w:t xml:space="preserve"> were kept in separate fattening facilities. </w:t>
      </w:r>
      <w:r w:rsidR="006B2D69" w:rsidRPr="00B67949">
        <w:rPr>
          <w:noProof/>
          <w:lang w:val="en-GB"/>
        </w:rPr>
        <w:t xml:space="preserve">During the </w:t>
      </w:r>
      <w:r w:rsidR="00BD54C2" w:rsidRPr="00B67949">
        <w:rPr>
          <w:noProof/>
          <w:lang w:val="en-GB"/>
        </w:rPr>
        <w:t>fattening period they were fed wit</w:t>
      </w:r>
      <w:r w:rsidR="00C543A0" w:rsidRPr="00B67949">
        <w:rPr>
          <w:noProof/>
          <w:lang w:val="en-GB"/>
        </w:rPr>
        <w:t>h</w:t>
      </w:r>
      <w:r w:rsidR="00BD54C2" w:rsidRPr="00B67949">
        <w:rPr>
          <w:noProof/>
          <w:lang w:val="en-GB"/>
        </w:rPr>
        <w:t xml:space="preserve"> a total mixed ratio (TMR</w:t>
      </w:r>
      <w:r w:rsidR="00E81204" w:rsidRPr="00B67949">
        <w:rPr>
          <w:noProof/>
          <w:lang w:val="en-GB"/>
        </w:rPr>
        <w:t>; corn silage</w:t>
      </w:r>
      <w:r w:rsidR="00BD54C2" w:rsidRPr="00B67949">
        <w:rPr>
          <w:noProof/>
          <w:lang w:val="en-GB"/>
        </w:rPr>
        <w:t xml:space="preserve">, high </w:t>
      </w:r>
      <w:r w:rsidR="00E81204" w:rsidRPr="00B67949">
        <w:rPr>
          <w:noProof/>
          <w:lang w:val="en-GB"/>
        </w:rPr>
        <w:t>moisture corn</w:t>
      </w:r>
      <w:r w:rsidR="00BD54C2" w:rsidRPr="00B67949">
        <w:rPr>
          <w:noProof/>
          <w:lang w:val="en-GB"/>
        </w:rPr>
        <w:t xml:space="preserve">, concentrate </w:t>
      </w:r>
      <w:r w:rsidR="00503DE3" w:rsidRPr="00B67949">
        <w:rPr>
          <w:noProof/>
          <w:lang w:val="en-GB"/>
        </w:rPr>
        <w:t xml:space="preserve">and straw in </w:t>
      </w:r>
      <w:r w:rsidR="00E81204" w:rsidRPr="00B67949">
        <w:rPr>
          <w:noProof/>
          <w:lang w:val="en-GB"/>
        </w:rPr>
        <w:t xml:space="preserve">weight </w:t>
      </w:r>
      <w:r w:rsidR="00503DE3" w:rsidRPr="00B67949">
        <w:rPr>
          <w:noProof/>
          <w:lang w:val="en-GB"/>
        </w:rPr>
        <w:t>ratio 45</w:t>
      </w:r>
      <w:r w:rsidR="00E81204" w:rsidRPr="00B67949">
        <w:rPr>
          <w:noProof/>
          <w:lang w:val="en-GB"/>
        </w:rPr>
        <w:t> </w:t>
      </w:r>
      <w:r w:rsidR="00503DE3" w:rsidRPr="00B67949">
        <w:rPr>
          <w:noProof/>
          <w:lang w:val="en-GB"/>
        </w:rPr>
        <w:t>:</w:t>
      </w:r>
      <w:r w:rsidR="00E81204" w:rsidRPr="00B67949">
        <w:rPr>
          <w:noProof/>
          <w:lang w:val="en-GB"/>
        </w:rPr>
        <w:t> </w:t>
      </w:r>
      <w:r w:rsidR="00503DE3" w:rsidRPr="00B67949">
        <w:rPr>
          <w:noProof/>
          <w:lang w:val="en-GB"/>
        </w:rPr>
        <w:t>40</w:t>
      </w:r>
      <w:r w:rsidR="00E81204" w:rsidRPr="00B67949">
        <w:rPr>
          <w:noProof/>
          <w:lang w:val="en-GB"/>
        </w:rPr>
        <w:t> </w:t>
      </w:r>
      <w:r w:rsidR="00503DE3" w:rsidRPr="00B67949">
        <w:rPr>
          <w:noProof/>
          <w:lang w:val="en-GB"/>
        </w:rPr>
        <w:t>:</w:t>
      </w:r>
      <w:r w:rsidR="00E81204" w:rsidRPr="00B67949">
        <w:rPr>
          <w:noProof/>
          <w:lang w:val="en-GB"/>
        </w:rPr>
        <w:t> </w:t>
      </w:r>
      <w:r w:rsidR="00503DE3" w:rsidRPr="00B67949">
        <w:rPr>
          <w:noProof/>
          <w:lang w:val="en-GB"/>
        </w:rPr>
        <w:t>10</w:t>
      </w:r>
      <w:r w:rsidR="00E81204" w:rsidRPr="00B67949">
        <w:rPr>
          <w:noProof/>
          <w:lang w:val="en-GB"/>
        </w:rPr>
        <w:t> </w:t>
      </w:r>
      <w:r w:rsidR="00503DE3" w:rsidRPr="00B67949">
        <w:rPr>
          <w:noProof/>
          <w:lang w:val="en-GB"/>
        </w:rPr>
        <w:t>:</w:t>
      </w:r>
      <w:r w:rsidR="00E81204" w:rsidRPr="00B67949">
        <w:rPr>
          <w:noProof/>
          <w:lang w:val="en-GB"/>
        </w:rPr>
        <w:t> 5</w:t>
      </w:r>
      <w:r w:rsidR="00336FDA" w:rsidRPr="00B67949">
        <w:rPr>
          <w:noProof/>
          <w:lang w:val="en-GB"/>
        </w:rPr>
        <w:t>)</w:t>
      </w:r>
      <w:r w:rsidR="00E81204" w:rsidRPr="00B67949">
        <w:rPr>
          <w:noProof/>
          <w:lang w:val="en-GB"/>
        </w:rPr>
        <w:t>. Transport</w:t>
      </w:r>
      <w:r w:rsidR="00503DE3" w:rsidRPr="00B67949">
        <w:rPr>
          <w:noProof/>
          <w:lang w:val="en-GB"/>
        </w:rPr>
        <w:t xml:space="preserve"> of animals to </w:t>
      </w:r>
      <w:r w:rsidR="00E81204" w:rsidRPr="00B67949">
        <w:rPr>
          <w:noProof/>
          <w:lang w:val="en-GB"/>
        </w:rPr>
        <w:t>slaughterhouse</w:t>
      </w:r>
      <w:r w:rsidR="00503DE3" w:rsidRPr="00B67949">
        <w:rPr>
          <w:noProof/>
          <w:lang w:val="en-GB"/>
        </w:rPr>
        <w:t xml:space="preserve">, slaughter, </w:t>
      </w:r>
      <w:r w:rsidR="00336FDA" w:rsidRPr="00B67949">
        <w:rPr>
          <w:noProof/>
          <w:lang w:val="en-GB"/>
        </w:rPr>
        <w:t xml:space="preserve">and carcasses </w:t>
      </w:r>
      <w:r w:rsidR="00503DE3" w:rsidRPr="00B67949">
        <w:rPr>
          <w:noProof/>
          <w:lang w:val="en-GB"/>
        </w:rPr>
        <w:t xml:space="preserve">processing </w:t>
      </w:r>
      <w:r w:rsidR="004925AA" w:rsidRPr="00B67949">
        <w:rPr>
          <w:noProof/>
          <w:lang w:val="en-GB"/>
        </w:rPr>
        <w:t xml:space="preserve">was carried out according to standard procedure. EUROP classification of conformation (E, U, R, O, P) </w:t>
      </w:r>
      <w:r w:rsidR="00E81204" w:rsidRPr="00B67949">
        <w:rPr>
          <w:noProof/>
          <w:lang w:val="en-GB"/>
        </w:rPr>
        <w:t xml:space="preserve">and estimation of </w:t>
      </w:r>
      <w:r w:rsidR="00336FDA" w:rsidRPr="00B67949">
        <w:rPr>
          <w:noProof/>
          <w:lang w:val="en-GB"/>
        </w:rPr>
        <w:t xml:space="preserve">carcass </w:t>
      </w:r>
      <w:r w:rsidR="00E81204" w:rsidRPr="00B67949">
        <w:rPr>
          <w:noProof/>
          <w:lang w:val="en-GB"/>
        </w:rPr>
        <w:t xml:space="preserve">coverage with fat tissue (score from 1 to 5) </w:t>
      </w:r>
      <w:r w:rsidR="004925AA" w:rsidRPr="00B67949">
        <w:rPr>
          <w:noProof/>
          <w:lang w:val="en-GB"/>
        </w:rPr>
        <w:t xml:space="preserve">was </w:t>
      </w:r>
      <w:r w:rsidR="00336FDA" w:rsidRPr="00B67949">
        <w:rPr>
          <w:noProof/>
          <w:lang w:val="en-GB"/>
        </w:rPr>
        <w:t xml:space="preserve">done </w:t>
      </w:r>
      <w:r w:rsidR="004925AA" w:rsidRPr="00B67949">
        <w:rPr>
          <w:noProof/>
          <w:lang w:val="en-GB"/>
        </w:rPr>
        <w:t>on the warm carcasses.</w:t>
      </w:r>
      <w:r w:rsidR="00092064" w:rsidRPr="00B67949">
        <w:rPr>
          <w:noProof/>
          <w:lang w:val="en-GB"/>
        </w:rPr>
        <w:t xml:space="preserve"> </w:t>
      </w:r>
      <w:r w:rsidR="00E81204" w:rsidRPr="00B67949">
        <w:rPr>
          <w:noProof/>
          <w:lang w:val="en-GB"/>
        </w:rPr>
        <w:t>Cold</w:t>
      </w:r>
      <w:r w:rsidR="00E12004" w:rsidRPr="00B67949">
        <w:rPr>
          <w:noProof/>
          <w:lang w:val="en-GB"/>
        </w:rPr>
        <w:t xml:space="preserve"> carcasses </w:t>
      </w:r>
      <w:r w:rsidR="000929A7" w:rsidRPr="00B67949">
        <w:rPr>
          <w:noProof/>
          <w:lang w:val="en-GB"/>
        </w:rPr>
        <w:t xml:space="preserve">weight were mesured after </w:t>
      </w:r>
      <w:r w:rsidR="00052300" w:rsidRPr="00B67949">
        <w:rPr>
          <w:noProof/>
          <w:lang w:val="en-GB"/>
        </w:rPr>
        <w:t>cooling (24 h</w:t>
      </w:r>
      <w:r w:rsidR="000929A7" w:rsidRPr="00B67949">
        <w:rPr>
          <w:noProof/>
          <w:lang w:val="en-GB"/>
        </w:rPr>
        <w:t xml:space="preserve"> </w:t>
      </w:r>
      <w:r w:rsidR="00052300" w:rsidRPr="00B67949">
        <w:rPr>
          <w:noProof/>
          <w:lang w:val="en-GB"/>
        </w:rPr>
        <w:t>/ 4</w:t>
      </w:r>
      <w:r w:rsidR="000C2A1D" w:rsidRPr="00B67949">
        <w:rPr>
          <w:noProof/>
          <w:lang w:val="en-GB"/>
        </w:rPr>
        <w:t xml:space="preserve"> </w:t>
      </w:r>
      <w:r w:rsidR="000C2A1D" w:rsidRPr="00B67949">
        <w:rPr>
          <w:noProof/>
          <w:vertAlign w:val="superscript"/>
          <w:lang w:val="en-GB"/>
        </w:rPr>
        <w:t>o</w:t>
      </w:r>
      <w:r w:rsidR="00052300" w:rsidRPr="00B67949">
        <w:rPr>
          <w:noProof/>
          <w:lang w:val="en-GB"/>
        </w:rPr>
        <w:t xml:space="preserve">C). </w:t>
      </w:r>
      <w:r w:rsidR="00184AF8" w:rsidRPr="00B67949">
        <w:rPr>
          <w:noProof/>
          <w:lang w:val="en-GB"/>
        </w:rPr>
        <w:t>The sample of MLD</w:t>
      </w:r>
      <w:r w:rsidR="00DB2F4D" w:rsidRPr="00B67949">
        <w:rPr>
          <w:noProof/>
          <w:lang w:val="en-GB"/>
        </w:rPr>
        <w:t xml:space="preserve"> was </w:t>
      </w:r>
      <w:r w:rsidR="00336FDA" w:rsidRPr="00B67949">
        <w:rPr>
          <w:noProof/>
          <w:lang w:val="en-GB"/>
        </w:rPr>
        <w:t xml:space="preserve">cut off </w:t>
      </w:r>
      <w:r w:rsidR="00DB2F4D" w:rsidRPr="00B67949">
        <w:rPr>
          <w:noProof/>
          <w:lang w:val="en-GB"/>
        </w:rPr>
        <w:t>at the height of the 8</w:t>
      </w:r>
      <w:r w:rsidR="00DB2F4D" w:rsidRPr="00B67949">
        <w:rPr>
          <w:noProof/>
          <w:vertAlign w:val="superscript"/>
          <w:lang w:val="en-GB"/>
        </w:rPr>
        <w:t>th</w:t>
      </w:r>
      <w:r w:rsidR="00DB2F4D" w:rsidRPr="00B67949">
        <w:rPr>
          <w:noProof/>
          <w:lang w:val="en-GB"/>
        </w:rPr>
        <w:t xml:space="preserve"> rib for chemical analysis by NIT spectrophotometry (Near Infrared Transmittance Spectroscopy) of Foodscan (Foss Electric A/S, Hillerød,</w:t>
      </w:r>
      <w:r w:rsidR="00A15748" w:rsidRPr="00B67949">
        <w:rPr>
          <w:noProof/>
          <w:lang w:val="en-GB"/>
        </w:rPr>
        <w:t xml:space="preserve"> </w:t>
      </w:r>
      <w:r w:rsidR="00DB2F4D" w:rsidRPr="00B67949">
        <w:rPr>
          <w:noProof/>
          <w:lang w:val="en-GB"/>
        </w:rPr>
        <w:t>Denmark).</w:t>
      </w:r>
      <w:r w:rsidR="00A15748" w:rsidRPr="00B67949">
        <w:rPr>
          <w:noProof/>
          <w:lang w:val="en-GB"/>
        </w:rPr>
        <w:t xml:space="preserve"> </w:t>
      </w:r>
      <w:r w:rsidR="00052300" w:rsidRPr="00B67949">
        <w:rPr>
          <w:noProof/>
          <w:lang w:val="en-GB"/>
        </w:rPr>
        <w:t xml:space="preserve">On the </w:t>
      </w:r>
      <w:r w:rsidR="00052300" w:rsidRPr="00B67949">
        <w:rPr>
          <w:noProof/>
          <w:lang w:val="en-GB"/>
        </w:rPr>
        <w:lastRenderedPageBreak/>
        <w:t>rib area (between the 10</w:t>
      </w:r>
      <w:r w:rsidR="00052300" w:rsidRPr="00B67949">
        <w:rPr>
          <w:noProof/>
          <w:vertAlign w:val="superscript"/>
          <w:lang w:val="en-GB"/>
        </w:rPr>
        <w:t>th</w:t>
      </w:r>
      <w:r w:rsidR="00052300" w:rsidRPr="00B67949">
        <w:rPr>
          <w:noProof/>
          <w:lang w:val="en-GB"/>
        </w:rPr>
        <w:t xml:space="preserve"> and 12</w:t>
      </w:r>
      <w:r w:rsidR="00052300" w:rsidRPr="00B67949">
        <w:rPr>
          <w:noProof/>
          <w:vertAlign w:val="superscript"/>
          <w:lang w:val="en-GB"/>
        </w:rPr>
        <w:t>th</w:t>
      </w:r>
      <w:r w:rsidR="00052300" w:rsidRPr="00B67949">
        <w:rPr>
          <w:noProof/>
          <w:lang w:val="en-GB"/>
        </w:rPr>
        <w:t xml:space="preserve"> rib)</w:t>
      </w:r>
      <w:r w:rsidR="00F6552C" w:rsidRPr="00B67949">
        <w:rPr>
          <w:noProof/>
          <w:lang w:val="en-GB"/>
        </w:rPr>
        <w:t xml:space="preserve">, dissection of muscle and fatty tissue was perfomed to estimate their </w:t>
      </w:r>
      <w:r w:rsidR="000929A7" w:rsidRPr="00B67949">
        <w:rPr>
          <w:noProof/>
          <w:lang w:val="en-GB"/>
        </w:rPr>
        <w:t>share</w:t>
      </w:r>
      <w:r w:rsidR="00F6552C" w:rsidRPr="00B67949">
        <w:rPr>
          <w:noProof/>
          <w:lang w:val="en-GB"/>
        </w:rPr>
        <w:t xml:space="preserve"> in carcass.</w:t>
      </w:r>
    </w:p>
    <w:p w14:paraId="291A598C" w14:textId="426B4FD7" w:rsidR="00D83259" w:rsidRPr="00B67949" w:rsidRDefault="00A55328" w:rsidP="00D83259">
      <w:pPr>
        <w:rPr>
          <w:szCs w:val="24"/>
          <w:lang w:val="en-GB"/>
        </w:rPr>
      </w:pPr>
      <w:r w:rsidRPr="00B67949">
        <w:rPr>
          <w:noProof/>
          <w:lang w:val="en-GB"/>
        </w:rPr>
        <w:t xml:space="preserve">The isolation of DNA was made from each individual tissue sample </w:t>
      </w:r>
      <w:r w:rsidR="00336FDA" w:rsidRPr="00B67949">
        <w:rPr>
          <w:noProof/>
          <w:lang w:val="en-GB"/>
        </w:rPr>
        <w:t>according to</w:t>
      </w:r>
      <w:r w:rsidRPr="00B67949">
        <w:rPr>
          <w:noProof/>
          <w:lang w:val="en-GB"/>
        </w:rPr>
        <w:t xml:space="preserve"> manufacturer’s protocol of Sigma-Aldrich, USA. </w:t>
      </w:r>
      <w:r w:rsidR="00D42B49" w:rsidRPr="00B67949">
        <w:rPr>
          <w:noProof/>
          <w:lang w:val="en-GB"/>
        </w:rPr>
        <w:t>The DNA strand length of 342 base pairs was multiplied usin</w:t>
      </w:r>
      <w:r w:rsidR="000E6569" w:rsidRPr="00B67949">
        <w:rPr>
          <w:noProof/>
          <w:lang w:val="en-GB"/>
        </w:rPr>
        <w:t>g</w:t>
      </w:r>
      <w:r w:rsidR="00D42B49" w:rsidRPr="00B67949">
        <w:rPr>
          <w:noProof/>
          <w:lang w:val="en-GB"/>
        </w:rPr>
        <w:t xml:space="preserve"> the oligonucleotide primers 5’-</w:t>
      </w:r>
      <w:r w:rsidR="00F170F8" w:rsidRPr="00B67949">
        <w:rPr>
          <w:noProof/>
          <w:lang w:val="en-GB"/>
        </w:rPr>
        <w:t>G</w:t>
      </w:r>
      <w:r w:rsidR="000E6569" w:rsidRPr="00B67949">
        <w:rPr>
          <w:noProof/>
          <w:lang w:val="en-GB"/>
        </w:rPr>
        <w:t>CTAACTTCATCGTGGACAAC-3’ and 5’-CTATGGCATGATTTTGTTCAG-3’</w:t>
      </w:r>
      <w:r w:rsidR="00931270" w:rsidRPr="00B67949">
        <w:rPr>
          <w:noProof/>
          <w:lang w:val="en-GB"/>
        </w:rPr>
        <w:t xml:space="preserve">. </w:t>
      </w:r>
      <w:r w:rsidR="000E6569" w:rsidRPr="00B67949">
        <w:rPr>
          <w:noProof/>
          <w:lang w:val="en-GB"/>
        </w:rPr>
        <w:t>Polymerase Chain Reaction (PCR</w:t>
      </w:r>
      <w:r w:rsidR="00EA29CB" w:rsidRPr="00B67949">
        <w:rPr>
          <w:noProof/>
          <w:lang w:val="en-GB"/>
        </w:rPr>
        <w:t>)</w:t>
      </w:r>
      <w:r w:rsidR="000E6569" w:rsidRPr="00B67949">
        <w:rPr>
          <w:noProof/>
          <w:lang w:val="en-GB"/>
        </w:rPr>
        <w:t xml:space="preserve"> was performed according to the </w:t>
      </w:r>
      <w:r w:rsidR="00EA29CB" w:rsidRPr="00B67949">
        <w:rPr>
          <w:noProof/>
          <w:lang w:val="en-GB"/>
        </w:rPr>
        <w:t xml:space="preserve">manufacturer’s protocol (Takara Bio Inc., Otsu, Shiga, Japan) in a total volume of 15 μL including 1.2 μL of genomic DNA, 7.5 μL EmeraldAmp® MAX HS PCR </w:t>
      </w:r>
      <w:r w:rsidR="0029518A" w:rsidRPr="00B67949">
        <w:rPr>
          <w:noProof/>
          <w:lang w:val="en-GB"/>
        </w:rPr>
        <w:t xml:space="preserve">Master Mix, 0.45 μL of each oligonucleotide primers and 5.4 μL of water. Multiplication of the sequence involved activation of the Taq polymerase (98 </w:t>
      </w:r>
      <w:r w:rsidR="000C2A1D" w:rsidRPr="00B67949">
        <w:rPr>
          <w:noProof/>
          <w:vertAlign w:val="superscript"/>
          <w:lang w:val="en-GB"/>
        </w:rPr>
        <w:t>o</w:t>
      </w:r>
      <w:r w:rsidR="0029518A" w:rsidRPr="00B67949">
        <w:rPr>
          <w:noProof/>
          <w:lang w:val="en-GB"/>
        </w:rPr>
        <w:t>C/</w:t>
      </w:r>
      <w:r w:rsidR="00542F10" w:rsidRPr="00B67949">
        <w:rPr>
          <w:noProof/>
          <w:lang w:val="en-GB"/>
        </w:rPr>
        <w:t>3 min</w:t>
      </w:r>
      <w:r w:rsidR="0029518A" w:rsidRPr="00B67949">
        <w:rPr>
          <w:noProof/>
          <w:lang w:val="en-GB"/>
        </w:rPr>
        <w:t>)</w:t>
      </w:r>
      <w:r w:rsidR="00542F10" w:rsidRPr="00B67949">
        <w:rPr>
          <w:noProof/>
          <w:lang w:val="en-GB"/>
        </w:rPr>
        <w:t xml:space="preserve">, 35 cycles for multiplying DNA sequence (98 </w:t>
      </w:r>
      <w:r w:rsidR="000C2A1D" w:rsidRPr="00B67949">
        <w:rPr>
          <w:noProof/>
          <w:vertAlign w:val="superscript"/>
          <w:lang w:val="en-GB"/>
        </w:rPr>
        <w:t>o</w:t>
      </w:r>
      <w:r w:rsidR="00542F10" w:rsidRPr="00B67949">
        <w:rPr>
          <w:noProof/>
          <w:lang w:val="en-GB"/>
        </w:rPr>
        <w:t xml:space="preserve">C/ 10 s, 53 </w:t>
      </w:r>
      <w:r w:rsidR="000C2A1D" w:rsidRPr="00B67949">
        <w:rPr>
          <w:noProof/>
          <w:vertAlign w:val="superscript"/>
          <w:lang w:val="en-GB"/>
        </w:rPr>
        <w:t>o</w:t>
      </w:r>
      <w:r w:rsidR="00542F10" w:rsidRPr="00B67949">
        <w:rPr>
          <w:noProof/>
          <w:lang w:val="en-GB"/>
        </w:rPr>
        <w:t xml:space="preserve">C/ 30 s, 72 </w:t>
      </w:r>
      <w:r w:rsidR="000C2A1D" w:rsidRPr="00B67949">
        <w:rPr>
          <w:noProof/>
          <w:vertAlign w:val="superscript"/>
          <w:lang w:val="en-GB"/>
        </w:rPr>
        <w:t>o</w:t>
      </w:r>
      <w:r w:rsidR="00542F10" w:rsidRPr="00B67949">
        <w:rPr>
          <w:noProof/>
          <w:lang w:val="en-GB"/>
        </w:rPr>
        <w:t xml:space="preserve">C/ 50 s) and it’s final extension (72 </w:t>
      </w:r>
      <w:r w:rsidR="000C2A1D" w:rsidRPr="00B67949">
        <w:rPr>
          <w:noProof/>
          <w:vertAlign w:val="superscript"/>
          <w:lang w:val="en-GB"/>
        </w:rPr>
        <w:t>o</w:t>
      </w:r>
      <w:r w:rsidR="000B0C59" w:rsidRPr="00B67949">
        <w:rPr>
          <w:noProof/>
          <w:lang w:val="en-GB"/>
        </w:rPr>
        <w:t>C/</w:t>
      </w:r>
      <w:r w:rsidR="00542F10" w:rsidRPr="00B67949">
        <w:rPr>
          <w:noProof/>
          <w:lang w:val="en-GB"/>
        </w:rPr>
        <w:t>5 min).</w:t>
      </w:r>
      <w:r w:rsidR="00177631" w:rsidRPr="00B67949">
        <w:rPr>
          <w:noProof/>
          <w:lang w:val="en-GB"/>
        </w:rPr>
        <w:t xml:space="preserve"> GHR allele variants were determinated by restriction with </w:t>
      </w:r>
      <w:r w:rsidR="00177631" w:rsidRPr="00B67949">
        <w:rPr>
          <w:i/>
          <w:noProof/>
          <w:lang w:val="en-GB"/>
        </w:rPr>
        <w:t>AluI</w:t>
      </w:r>
      <w:r w:rsidR="00177631" w:rsidRPr="00B67949">
        <w:rPr>
          <w:noProof/>
          <w:lang w:val="en-GB"/>
        </w:rPr>
        <w:t xml:space="preserve"> enzyme (</w:t>
      </w:r>
      <w:r w:rsidR="00177631" w:rsidRPr="00B67949">
        <w:rPr>
          <w:noProof/>
          <w:szCs w:val="24"/>
          <w:lang w:val="en-GB"/>
        </w:rPr>
        <w:t>Promega Corporation, USA)</w:t>
      </w:r>
      <w:r w:rsidR="00AA4C3E" w:rsidRPr="00B67949">
        <w:rPr>
          <w:noProof/>
          <w:szCs w:val="24"/>
          <w:lang w:val="en-GB"/>
        </w:rPr>
        <w:t xml:space="preserve"> and the visualization was performed on a </w:t>
      </w:r>
      <w:r w:rsidR="002861FB" w:rsidRPr="00B67949">
        <w:rPr>
          <w:noProof/>
          <w:szCs w:val="24"/>
          <w:lang w:val="en-GB"/>
        </w:rPr>
        <w:t xml:space="preserve">stained ethidium bromide </w:t>
      </w:r>
      <w:r w:rsidR="00AA4C3E" w:rsidRPr="00B67949">
        <w:rPr>
          <w:noProof/>
          <w:szCs w:val="24"/>
          <w:lang w:val="en-GB"/>
        </w:rPr>
        <w:t xml:space="preserve">3% agarose gel with </w:t>
      </w:r>
      <w:r w:rsidR="00336FDA" w:rsidRPr="00B67949">
        <w:rPr>
          <w:noProof/>
          <w:szCs w:val="24"/>
          <w:lang w:val="en-GB"/>
        </w:rPr>
        <w:t xml:space="preserve">a </w:t>
      </w:r>
      <w:r w:rsidR="00AA4C3E" w:rsidRPr="00B67949">
        <w:rPr>
          <w:noProof/>
          <w:szCs w:val="24"/>
          <w:lang w:val="en-GB"/>
        </w:rPr>
        <w:t xml:space="preserve">standard </w:t>
      </w:r>
      <w:r w:rsidR="00336FDA" w:rsidRPr="00B67949">
        <w:rPr>
          <w:noProof/>
          <w:szCs w:val="24"/>
          <w:lang w:val="en-GB"/>
        </w:rPr>
        <w:t xml:space="preserve">ladder of </w:t>
      </w:r>
      <w:r w:rsidR="00AA4C3E" w:rsidRPr="00B67949">
        <w:rPr>
          <w:noProof/>
          <w:szCs w:val="24"/>
          <w:lang w:val="en-GB"/>
        </w:rPr>
        <w:t>50 base pair</w:t>
      </w:r>
      <w:r w:rsidR="00FF67FF" w:rsidRPr="00B67949">
        <w:rPr>
          <w:noProof/>
          <w:szCs w:val="24"/>
          <w:lang w:val="en-GB"/>
        </w:rPr>
        <w:t xml:space="preserve"> and visualized under UV light.</w:t>
      </w:r>
      <w:r w:rsidR="008631EA" w:rsidRPr="00B67949">
        <w:rPr>
          <w:szCs w:val="24"/>
          <w:lang w:val="en-GB"/>
        </w:rPr>
        <w:t xml:space="preserve"> </w:t>
      </w:r>
      <w:r w:rsidR="004E1F82" w:rsidRPr="00B67949">
        <w:rPr>
          <w:szCs w:val="24"/>
          <w:lang w:val="en-GB"/>
        </w:rPr>
        <w:t>The genotype and allele frequencies for polymorphism were calculated.</w:t>
      </w:r>
      <w:r w:rsidR="00B14474" w:rsidRPr="00B67949">
        <w:rPr>
          <w:szCs w:val="24"/>
          <w:lang w:val="en-GB"/>
        </w:rPr>
        <w:t xml:space="preserve"> </w:t>
      </w:r>
      <w:r w:rsidR="004E1F82" w:rsidRPr="00B67949">
        <w:rPr>
          <w:szCs w:val="24"/>
          <w:lang w:val="en-GB"/>
        </w:rPr>
        <w:t xml:space="preserve">The effect of genotype on growth characteristics, carcasses and meat quality was determined using the linear models (GLM procedure, SAS STAT, V8, 1999) with fixed effects of </w:t>
      </w:r>
      <w:r w:rsidR="00AB1265" w:rsidRPr="00B67949">
        <w:rPr>
          <w:szCs w:val="24"/>
          <w:lang w:val="en-GB"/>
        </w:rPr>
        <w:t xml:space="preserve">GHR </w:t>
      </w:r>
      <w:r w:rsidR="004E1F82" w:rsidRPr="00B67949">
        <w:rPr>
          <w:szCs w:val="24"/>
          <w:lang w:val="en-GB"/>
        </w:rPr>
        <w:t>genotype</w:t>
      </w:r>
      <w:r w:rsidR="00AB1265" w:rsidRPr="00B67949">
        <w:rPr>
          <w:szCs w:val="24"/>
          <w:lang w:val="en-GB"/>
        </w:rPr>
        <w:t>, breeds</w:t>
      </w:r>
      <w:r w:rsidR="004E1F82" w:rsidRPr="00B67949">
        <w:rPr>
          <w:szCs w:val="24"/>
          <w:lang w:val="en-GB"/>
        </w:rPr>
        <w:t xml:space="preserve"> and slaughter age (</w:t>
      </w:r>
      <w:r w:rsidR="00D83259" w:rsidRPr="00B67949">
        <w:rPr>
          <w:szCs w:val="24"/>
          <w:lang w:val="en-GB"/>
        </w:rPr>
        <w:t>mo</w:t>
      </w:r>
      <w:r w:rsidR="00C57AA1">
        <w:rPr>
          <w:szCs w:val="24"/>
          <w:lang w:val="en-GB"/>
        </w:rPr>
        <w:t>n</w:t>
      </w:r>
      <w:bookmarkStart w:id="1" w:name="_GoBack"/>
      <w:bookmarkEnd w:id="1"/>
      <w:r w:rsidR="00D83259" w:rsidRPr="00B67949">
        <w:rPr>
          <w:szCs w:val="24"/>
          <w:lang w:val="en-GB"/>
        </w:rPr>
        <w:t>ths</w:t>
      </w:r>
      <w:r w:rsidR="004E1F82" w:rsidRPr="00B67949">
        <w:rPr>
          <w:szCs w:val="24"/>
          <w:lang w:val="en-GB"/>
        </w:rPr>
        <w:t>)</w:t>
      </w:r>
      <w:r w:rsidR="00AC3965" w:rsidRPr="00B67949">
        <w:rPr>
          <w:szCs w:val="24"/>
          <w:lang w:val="en-GB"/>
        </w:rPr>
        <w:t>:</w:t>
      </w:r>
      <w:r w:rsidR="00D83259" w:rsidRPr="00B67949">
        <w:rPr>
          <w:szCs w:val="24"/>
          <w:lang w:val="en-GB"/>
        </w:rPr>
        <w:t xml:space="preserve"> </w:t>
      </w:r>
      <w:proofErr w:type="spellStart"/>
      <w:r w:rsidR="00AC3965" w:rsidRPr="00B67949">
        <w:rPr>
          <w:rFonts w:eastAsia="Revival565L2-Roman"/>
          <w:color w:val="auto"/>
          <w:szCs w:val="24"/>
          <w:lang w:val="en-GB" w:eastAsia="hr-HR"/>
        </w:rPr>
        <w:t>Y</w:t>
      </w:r>
      <w:r w:rsidR="00AC3965" w:rsidRPr="00B67949">
        <w:rPr>
          <w:rFonts w:eastAsia="Revival565L2-Roman"/>
          <w:color w:val="auto"/>
          <w:szCs w:val="24"/>
          <w:vertAlign w:val="subscript"/>
          <w:lang w:val="en-GB" w:eastAsia="hr-HR"/>
        </w:rPr>
        <w:t>ijk</w:t>
      </w:r>
      <w:proofErr w:type="spellEnd"/>
      <w:r w:rsidR="00AC3965" w:rsidRPr="00B67949">
        <w:rPr>
          <w:rFonts w:eastAsia="Revival565L2-Roman"/>
          <w:color w:val="auto"/>
          <w:szCs w:val="24"/>
          <w:lang w:val="en-GB" w:eastAsia="hr-HR"/>
        </w:rPr>
        <w:t>=</w:t>
      </w:r>
      <w:r w:rsidR="00AC3965" w:rsidRPr="00B67949">
        <w:rPr>
          <w:rFonts w:eastAsia="Revival565L2-Roman"/>
          <w:i/>
          <w:color w:val="auto"/>
          <w:szCs w:val="24"/>
          <w:lang w:val="en-GB" w:eastAsia="hr-HR"/>
        </w:rPr>
        <w:t>μ</w:t>
      </w:r>
      <w:r w:rsidR="00AC3965" w:rsidRPr="00B67949">
        <w:rPr>
          <w:rFonts w:eastAsia="Revival565L2-Roman"/>
          <w:color w:val="auto"/>
          <w:szCs w:val="24"/>
          <w:lang w:val="en-GB" w:eastAsia="hr-HR"/>
        </w:rPr>
        <w:t xml:space="preserve"> + G</w:t>
      </w:r>
      <w:r w:rsidR="00AC3965" w:rsidRPr="00B67949">
        <w:rPr>
          <w:rFonts w:eastAsia="Revival565L2-Roman"/>
          <w:color w:val="auto"/>
          <w:szCs w:val="24"/>
          <w:vertAlign w:val="subscript"/>
          <w:lang w:val="en-GB" w:eastAsia="hr-HR"/>
        </w:rPr>
        <w:t>i</w:t>
      </w:r>
      <w:r w:rsidR="00AC3965" w:rsidRPr="00B67949">
        <w:rPr>
          <w:rFonts w:eastAsia="Revival565L2-Roman"/>
          <w:color w:val="auto"/>
          <w:szCs w:val="24"/>
          <w:lang w:val="en-GB" w:eastAsia="hr-HR"/>
        </w:rPr>
        <w:t xml:space="preserve"> +</w:t>
      </w:r>
      <w:r w:rsidR="00AB1265" w:rsidRPr="00B67949">
        <w:rPr>
          <w:rFonts w:eastAsia="Revival565L2-Roman"/>
          <w:color w:val="auto"/>
          <w:szCs w:val="24"/>
          <w:lang w:val="en-GB" w:eastAsia="hr-HR"/>
        </w:rPr>
        <w:t xml:space="preserve"> </w:t>
      </w:r>
      <w:proofErr w:type="spellStart"/>
      <w:r w:rsidR="00AB1265" w:rsidRPr="00B67949">
        <w:rPr>
          <w:rFonts w:eastAsia="Revival565L2-Roman"/>
          <w:color w:val="auto"/>
          <w:szCs w:val="24"/>
          <w:lang w:val="en-GB" w:eastAsia="hr-HR"/>
        </w:rPr>
        <w:t>B</w:t>
      </w:r>
      <w:r w:rsidR="00AB1265" w:rsidRPr="00B67949">
        <w:rPr>
          <w:rFonts w:eastAsia="Revival565L2-Roman"/>
          <w:color w:val="auto"/>
          <w:szCs w:val="24"/>
          <w:vertAlign w:val="subscript"/>
          <w:lang w:val="en-GB" w:eastAsia="hr-HR"/>
        </w:rPr>
        <w:t>j</w:t>
      </w:r>
      <w:proofErr w:type="spellEnd"/>
      <w:r w:rsidR="00AB1265" w:rsidRPr="00B67949">
        <w:rPr>
          <w:rFonts w:eastAsia="Revival565L2-Roman"/>
          <w:color w:val="auto"/>
          <w:szCs w:val="24"/>
          <w:lang w:val="en-GB" w:eastAsia="hr-HR"/>
        </w:rPr>
        <w:t xml:space="preserve"> +</w:t>
      </w:r>
      <w:r w:rsidR="00AC3965" w:rsidRPr="00B67949">
        <w:rPr>
          <w:rFonts w:eastAsia="Revival565L2-Roman"/>
          <w:color w:val="auto"/>
          <w:szCs w:val="24"/>
          <w:lang w:val="en-GB" w:eastAsia="hr-HR"/>
        </w:rPr>
        <w:t xml:space="preserve"> </w:t>
      </w:r>
      <w:r w:rsidR="00D83259" w:rsidRPr="00B67949">
        <w:rPr>
          <w:rFonts w:eastAsia="Revival565L2-Roman"/>
          <w:color w:val="auto"/>
          <w:szCs w:val="24"/>
          <w:lang w:val="en-GB" w:eastAsia="hr-HR"/>
        </w:rPr>
        <w:t>A</w:t>
      </w:r>
      <w:r w:rsidR="00AB1265" w:rsidRPr="00B67949">
        <w:rPr>
          <w:rFonts w:eastAsia="Revival565L2-Roman"/>
          <w:color w:val="auto"/>
          <w:szCs w:val="24"/>
          <w:vertAlign w:val="subscript"/>
          <w:lang w:val="en-GB" w:eastAsia="hr-HR"/>
        </w:rPr>
        <w:t>k</w:t>
      </w:r>
      <w:r w:rsidR="00AC3965" w:rsidRPr="00B67949">
        <w:rPr>
          <w:rFonts w:eastAsia="Revival565L2-Roman"/>
          <w:color w:val="auto"/>
          <w:szCs w:val="24"/>
          <w:lang w:val="en-GB" w:eastAsia="hr-HR"/>
        </w:rPr>
        <w:t xml:space="preserve"> + </w:t>
      </w:r>
      <w:proofErr w:type="spellStart"/>
      <w:r w:rsidR="00AC3965" w:rsidRPr="00B67949">
        <w:rPr>
          <w:rFonts w:eastAsia="Revival565L2-Roman"/>
          <w:color w:val="auto"/>
          <w:szCs w:val="24"/>
          <w:lang w:val="en-GB" w:eastAsia="hr-HR"/>
        </w:rPr>
        <w:t>e</w:t>
      </w:r>
      <w:r w:rsidR="00AC3965" w:rsidRPr="00B67949">
        <w:rPr>
          <w:rFonts w:eastAsia="Revival565L2-Roman"/>
          <w:color w:val="auto"/>
          <w:szCs w:val="24"/>
          <w:vertAlign w:val="subscript"/>
          <w:lang w:val="en-GB" w:eastAsia="hr-HR"/>
        </w:rPr>
        <w:t>ijk</w:t>
      </w:r>
      <w:r w:rsidR="00AB1265" w:rsidRPr="00B67949">
        <w:rPr>
          <w:rFonts w:eastAsia="Revival565L2-Roman"/>
          <w:color w:val="auto"/>
          <w:szCs w:val="24"/>
          <w:vertAlign w:val="subscript"/>
          <w:lang w:val="en-GB" w:eastAsia="hr-HR"/>
        </w:rPr>
        <w:t>h</w:t>
      </w:r>
      <w:proofErr w:type="spellEnd"/>
      <w:r w:rsidR="00D83259" w:rsidRPr="00B67949">
        <w:rPr>
          <w:szCs w:val="24"/>
          <w:lang w:val="en-GB"/>
        </w:rPr>
        <w:t xml:space="preserve"> </w:t>
      </w:r>
      <w:r w:rsidR="00D83259" w:rsidRPr="00B67949">
        <w:rPr>
          <w:noProof/>
          <w:szCs w:val="24"/>
          <w:lang w:val="en-GB"/>
        </w:rPr>
        <w:t>(Y</w:t>
      </w:r>
      <w:r w:rsidR="00D83259" w:rsidRPr="00B67949">
        <w:rPr>
          <w:noProof/>
          <w:szCs w:val="24"/>
          <w:vertAlign w:val="subscript"/>
          <w:lang w:val="en-GB"/>
        </w:rPr>
        <w:t>ijk</w:t>
      </w:r>
      <w:r w:rsidR="00AB1265" w:rsidRPr="00B67949">
        <w:rPr>
          <w:noProof/>
          <w:szCs w:val="24"/>
          <w:vertAlign w:val="subscript"/>
          <w:lang w:val="en-GB"/>
        </w:rPr>
        <w:t>h</w:t>
      </w:r>
      <w:r w:rsidR="00D83259" w:rsidRPr="00B67949">
        <w:rPr>
          <w:noProof/>
          <w:szCs w:val="24"/>
          <w:lang w:val="en-GB"/>
        </w:rPr>
        <w:t xml:space="preserve"> is a phenotypic observation; </w:t>
      </w:r>
      <w:r w:rsidR="00D83259" w:rsidRPr="00B67949">
        <w:rPr>
          <w:i/>
          <w:noProof/>
          <w:szCs w:val="24"/>
          <w:lang w:val="en-GB"/>
        </w:rPr>
        <w:t>μ</w:t>
      </w:r>
      <w:r w:rsidR="00D83259" w:rsidRPr="00B67949">
        <w:rPr>
          <w:noProof/>
          <w:szCs w:val="24"/>
          <w:lang w:val="en-GB"/>
        </w:rPr>
        <w:t xml:space="preserve"> is the overall mean; G</w:t>
      </w:r>
      <w:r w:rsidR="00D83259" w:rsidRPr="00B67949">
        <w:rPr>
          <w:noProof/>
          <w:szCs w:val="24"/>
          <w:vertAlign w:val="subscript"/>
          <w:lang w:val="en-GB"/>
        </w:rPr>
        <w:t>i</w:t>
      </w:r>
      <w:r w:rsidR="00D83259" w:rsidRPr="00B67949">
        <w:rPr>
          <w:noProof/>
          <w:szCs w:val="24"/>
          <w:lang w:val="en-GB"/>
        </w:rPr>
        <w:t xml:space="preserve"> is the fixed effect of GHR genotype; </w:t>
      </w:r>
      <w:proofErr w:type="spellStart"/>
      <w:r w:rsidR="00AB1265" w:rsidRPr="00B67949">
        <w:rPr>
          <w:rFonts w:eastAsia="Revival565L2-Roman"/>
          <w:color w:val="auto"/>
          <w:szCs w:val="24"/>
          <w:lang w:val="en-GB" w:eastAsia="hr-HR"/>
        </w:rPr>
        <w:t>B</w:t>
      </w:r>
      <w:r w:rsidR="00AB1265" w:rsidRPr="00B67949">
        <w:rPr>
          <w:rFonts w:eastAsia="Revival565L2-Roman"/>
          <w:color w:val="auto"/>
          <w:szCs w:val="24"/>
          <w:vertAlign w:val="subscript"/>
          <w:lang w:val="en-GB" w:eastAsia="hr-HR"/>
        </w:rPr>
        <w:t>j</w:t>
      </w:r>
      <w:proofErr w:type="spellEnd"/>
      <w:r w:rsidR="00AB1265" w:rsidRPr="00B67949">
        <w:rPr>
          <w:rFonts w:eastAsia="Revival565L2-Roman"/>
          <w:color w:val="auto"/>
          <w:szCs w:val="24"/>
          <w:lang w:val="en-GB" w:eastAsia="hr-HR"/>
        </w:rPr>
        <w:t xml:space="preserve"> </w:t>
      </w:r>
      <w:r w:rsidR="00AB1265" w:rsidRPr="00B67949">
        <w:rPr>
          <w:noProof/>
          <w:szCs w:val="24"/>
          <w:lang w:val="en-GB"/>
        </w:rPr>
        <w:t xml:space="preserve">is effect of breed; </w:t>
      </w:r>
      <w:r w:rsidR="00D83259" w:rsidRPr="00B67949">
        <w:rPr>
          <w:noProof/>
          <w:szCs w:val="24"/>
          <w:lang w:val="en-GB"/>
        </w:rPr>
        <w:t>A</w:t>
      </w:r>
      <w:r w:rsidR="00AB1265" w:rsidRPr="00B67949">
        <w:rPr>
          <w:noProof/>
          <w:szCs w:val="24"/>
          <w:vertAlign w:val="subscript"/>
          <w:lang w:val="en-GB"/>
        </w:rPr>
        <w:t>k</w:t>
      </w:r>
      <w:r w:rsidR="00D83259" w:rsidRPr="00B67949">
        <w:rPr>
          <w:noProof/>
          <w:szCs w:val="24"/>
          <w:lang w:val="en-GB"/>
        </w:rPr>
        <w:t xml:space="preserve"> is effect of slaughter age; e</w:t>
      </w:r>
      <w:r w:rsidR="00D83259" w:rsidRPr="00B67949">
        <w:rPr>
          <w:noProof/>
          <w:szCs w:val="24"/>
          <w:vertAlign w:val="subscript"/>
          <w:lang w:val="en-GB"/>
        </w:rPr>
        <w:t>ijk</w:t>
      </w:r>
      <w:r w:rsidR="00AB1265" w:rsidRPr="00B67949">
        <w:rPr>
          <w:noProof/>
          <w:szCs w:val="24"/>
          <w:vertAlign w:val="subscript"/>
          <w:lang w:val="en-GB"/>
        </w:rPr>
        <w:t>h</w:t>
      </w:r>
      <w:r w:rsidR="00D83259" w:rsidRPr="00B67949">
        <w:rPr>
          <w:noProof/>
          <w:szCs w:val="24"/>
          <w:lang w:val="en-GB"/>
        </w:rPr>
        <w:t xml:space="preserve"> is the random residual effect). The least square means were estimated for genotype groups (</w:t>
      </w:r>
      <w:r w:rsidR="00D83259" w:rsidRPr="00B67949">
        <w:rPr>
          <w:i/>
          <w:noProof/>
          <w:szCs w:val="24"/>
          <w:lang w:val="en-GB"/>
        </w:rPr>
        <w:t>differences were tested by Scheffe`s test</w:t>
      </w:r>
      <w:r w:rsidR="00D83259" w:rsidRPr="00B67949">
        <w:rPr>
          <w:noProof/>
          <w:szCs w:val="24"/>
          <w:lang w:val="en-GB"/>
        </w:rPr>
        <w:t>).</w:t>
      </w:r>
      <w:r w:rsidR="00B67949">
        <w:rPr>
          <w:noProof/>
          <w:szCs w:val="24"/>
          <w:lang w:val="en-GB"/>
        </w:rPr>
        <w:t xml:space="preserve"> </w:t>
      </w:r>
      <w:r w:rsidR="00B67949">
        <w:rPr>
          <w:szCs w:val="24"/>
          <w:lang w:val="en-GB"/>
        </w:rPr>
        <w:t>T</w:t>
      </w:r>
      <w:r w:rsidR="00B67949" w:rsidRPr="00B67949">
        <w:rPr>
          <w:szCs w:val="24"/>
          <w:lang w:val="en-GB"/>
        </w:rPr>
        <w:t>he substitution effects of favourable alleles</w:t>
      </w:r>
      <w:r w:rsidR="00B67949">
        <w:rPr>
          <w:szCs w:val="24"/>
          <w:lang w:val="en-GB"/>
        </w:rPr>
        <w:t xml:space="preserve"> were calculated using linear </w:t>
      </w:r>
      <w:r w:rsidR="00735BEE">
        <w:rPr>
          <w:szCs w:val="24"/>
          <w:lang w:val="en-GB"/>
        </w:rPr>
        <w:t xml:space="preserve">regression instead of </w:t>
      </w:r>
      <w:r w:rsidR="00735BEE">
        <w:rPr>
          <w:rFonts w:eastAsia="Revival565L2-Roman"/>
          <w:color w:val="auto"/>
          <w:szCs w:val="24"/>
          <w:lang w:val="en-GB" w:eastAsia="hr-HR"/>
        </w:rPr>
        <w:t xml:space="preserve">genotype effect in </w:t>
      </w:r>
      <w:proofErr w:type="spellStart"/>
      <w:r w:rsidR="00735BEE">
        <w:rPr>
          <w:rFonts w:eastAsia="Revival565L2-Roman"/>
          <w:color w:val="auto"/>
          <w:szCs w:val="24"/>
          <w:lang w:val="en-GB" w:eastAsia="hr-HR"/>
        </w:rPr>
        <w:t>linaer</w:t>
      </w:r>
      <w:proofErr w:type="spellEnd"/>
      <w:r w:rsidR="00735BEE">
        <w:rPr>
          <w:rFonts w:eastAsia="Revival565L2-Roman"/>
          <w:color w:val="auto"/>
          <w:szCs w:val="24"/>
          <w:lang w:val="en-GB" w:eastAsia="hr-HR"/>
        </w:rPr>
        <w:t xml:space="preserve"> model from above:</w:t>
      </w:r>
      <w:r w:rsidR="00B67949">
        <w:rPr>
          <w:szCs w:val="24"/>
          <w:lang w:val="en-GB"/>
        </w:rPr>
        <w:t xml:space="preserve"> </w:t>
      </w:r>
      <w:proofErr w:type="spellStart"/>
      <w:r w:rsidR="00B67949" w:rsidRPr="00B67949">
        <w:rPr>
          <w:rFonts w:eastAsia="Revival565L2-Roman"/>
          <w:color w:val="auto"/>
          <w:szCs w:val="24"/>
          <w:lang w:val="en-GB" w:eastAsia="hr-HR"/>
        </w:rPr>
        <w:t>Y</w:t>
      </w:r>
      <w:r w:rsidR="00B67949" w:rsidRPr="00B67949">
        <w:rPr>
          <w:rFonts w:eastAsia="Revival565L2-Roman"/>
          <w:color w:val="auto"/>
          <w:szCs w:val="24"/>
          <w:vertAlign w:val="subscript"/>
          <w:lang w:val="en-GB" w:eastAsia="hr-HR"/>
        </w:rPr>
        <w:t>ijk</w:t>
      </w:r>
      <w:proofErr w:type="spellEnd"/>
      <w:r w:rsidR="00B67949" w:rsidRPr="00B67949">
        <w:rPr>
          <w:rFonts w:eastAsia="Revival565L2-Roman"/>
          <w:color w:val="auto"/>
          <w:szCs w:val="24"/>
          <w:lang w:val="en-GB" w:eastAsia="hr-HR"/>
        </w:rPr>
        <w:t>=</w:t>
      </w:r>
      <w:r w:rsidR="00B67949" w:rsidRPr="00B67949">
        <w:rPr>
          <w:rFonts w:eastAsia="Revival565L2-Roman"/>
          <w:i/>
          <w:color w:val="auto"/>
          <w:szCs w:val="24"/>
          <w:lang w:val="en-GB" w:eastAsia="hr-HR"/>
        </w:rPr>
        <w:t>μ</w:t>
      </w:r>
      <w:r w:rsidR="00B67949" w:rsidRPr="00B67949">
        <w:rPr>
          <w:rFonts w:eastAsia="Revival565L2-Roman"/>
          <w:color w:val="auto"/>
          <w:szCs w:val="24"/>
          <w:lang w:val="en-GB" w:eastAsia="hr-HR"/>
        </w:rPr>
        <w:t xml:space="preserve"> + </w:t>
      </w:r>
      <w:r w:rsidR="00735BEE">
        <w:rPr>
          <w:noProof/>
          <w:szCs w:val="24"/>
          <w:lang w:val="en-GB"/>
        </w:rPr>
        <w:t>β</w:t>
      </w:r>
      <w:r w:rsidR="00B67949">
        <w:rPr>
          <w:rFonts w:eastAsia="Revival565L2-Roman"/>
          <w:color w:val="auto"/>
          <w:szCs w:val="24"/>
          <w:lang w:val="en-GB" w:eastAsia="hr-HR"/>
        </w:rPr>
        <w:t>x</w:t>
      </w:r>
      <w:r w:rsidR="00B67949" w:rsidRPr="00B67949">
        <w:rPr>
          <w:rFonts w:eastAsia="Revival565L2-Roman"/>
          <w:color w:val="auto"/>
          <w:szCs w:val="24"/>
          <w:vertAlign w:val="subscript"/>
          <w:lang w:val="en-GB" w:eastAsia="hr-HR"/>
        </w:rPr>
        <w:t>i</w:t>
      </w:r>
      <w:r w:rsidR="00B67949" w:rsidRPr="00B67949">
        <w:rPr>
          <w:rFonts w:eastAsia="Revival565L2-Roman"/>
          <w:color w:val="auto"/>
          <w:szCs w:val="24"/>
          <w:lang w:val="en-GB" w:eastAsia="hr-HR"/>
        </w:rPr>
        <w:t xml:space="preserve"> + </w:t>
      </w:r>
      <w:proofErr w:type="spellStart"/>
      <w:r w:rsidR="00B67949" w:rsidRPr="00B67949">
        <w:rPr>
          <w:rFonts w:eastAsia="Revival565L2-Roman"/>
          <w:color w:val="auto"/>
          <w:szCs w:val="24"/>
          <w:lang w:val="en-GB" w:eastAsia="hr-HR"/>
        </w:rPr>
        <w:t>B</w:t>
      </w:r>
      <w:r w:rsidR="00B67949" w:rsidRPr="00B67949">
        <w:rPr>
          <w:rFonts w:eastAsia="Revival565L2-Roman"/>
          <w:color w:val="auto"/>
          <w:szCs w:val="24"/>
          <w:vertAlign w:val="subscript"/>
          <w:lang w:val="en-GB" w:eastAsia="hr-HR"/>
        </w:rPr>
        <w:t>j</w:t>
      </w:r>
      <w:proofErr w:type="spellEnd"/>
      <w:r w:rsidR="00B67949" w:rsidRPr="00B67949">
        <w:rPr>
          <w:rFonts w:eastAsia="Revival565L2-Roman"/>
          <w:color w:val="auto"/>
          <w:szCs w:val="24"/>
          <w:lang w:val="en-GB" w:eastAsia="hr-HR"/>
        </w:rPr>
        <w:t xml:space="preserve"> + A</w:t>
      </w:r>
      <w:r w:rsidR="00B67949" w:rsidRPr="00B67949">
        <w:rPr>
          <w:rFonts w:eastAsia="Revival565L2-Roman"/>
          <w:color w:val="auto"/>
          <w:szCs w:val="24"/>
          <w:vertAlign w:val="subscript"/>
          <w:lang w:val="en-GB" w:eastAsia="hr-HR"/>
        </w:rPr>
        <w:t>k</w:t>
      </w:r>
      <w:r w:rsidR="00B67949" w:rsidRPr="00B67949">
        <w:rPr>
          <w:rFonts w:eastAsia="Revival565L2-Roman"/>
          <w:color w:val="auto"/>
          <w:szCs w:val="24"/>
          <w:lang w:val="en-GB" w:eastAsia="hr-HR"/>
        </w:rPr>
        <w:t xml:space="preserve"> + </w:t>
      </w:r>
      <w:proofErr w:type="spellStart"/>
      <w:r w:rsidR="00B67949" w:rsidRPr="00B67949">
        <w:rPr>
          <w:rFonts w:eastAsia="Revival565L2-Roman"/>
          <w:color w:val="auto"/>
          <w:szCs w:val="24"/>
          <w:lang w:val="en-GB" w:eastAsia="hr-HR"/>
        </w:rPr>
        <w:t>e</w:t>
      </w:r>
      <w:r w:rsidR="00B67949" w:rsidRPr="00B67949">
        <w:rPr>
          <w:rFonts w:eastAsia="Revival565L2-Roman"/>
          <w:color w:val="auto"/>
          <w:szCs w:val="24"/>
          <w:vertAlign w:val="subscript"/>
          <w:lang w:val="en-GB" w:eastAsia="hr-HR"/>
        </w:rPr>
        <w:t>ijkh</w:t>
      </w:r>
      <w:proofErr w:type="spellEnd"/>
      <w:r w:rsidR="00B67949">
        <w:rPr>
          <w:rFonts w:eastAsia="Revival565L2-Roman"/>
          <w:color w:val="auto"/>
          <w:szCs w:val="24"/>
          <w:lang w:val="en-GB" w:eastAsia="hr-HR"/>
        </w:rPr>
        <w:t xml:space="preserve">, where </w:t>
      </w:r>
      <w:r w:rsidR="00B67949" w:rsidRPr="00B67949">
        <w:rPr>
          <w:noProof/>
          <w:szCs w:val="24"/>
          <w:lang w:val="en-GB"/>
        </w:rPr>
        <w:t>Y</w:t>
      </w:r>
      <w:r w:rsidR="00B67949" w:rsidRPr="00B67949">
        <w:rPr>
          <w:noProof/>
          <w:szCs w:val="24"/>
          <w:vertAlign w:val="subscript"/>
          <w:lang w:val="en-GB"/>
        </w:rPr>
        <w:t>ijkh</w:t>
      </w:r>
      <w:r w:rsidR="00B67949" w:rsidRPr="00B67949">
        <w:rPr>
          <w:noProof/>
          <w:szCs w:val="24"/>
          <w:lang w:val="en-GB"/>
        </w:rPr>
        <w:t xml:space="preserve"> is a phenotypic observation; </w:t>
      </w:r>
      <w:r w:rsidR="00B67949" w:rsidRPr="00B67949">
        <w:rPr>
          <w:i/>
          <w:noProof/>
          <w:szCs w:val="24"/>
          <w:lang w:val="en-GB"/>
        </w:rPr>
        <w:t>μ</w:t>
      </w:r>
      <w:r w:rsidR="00B67949" w:rsidRPr="00B67949">
        <w:rPr>
          <w:noProof/>
          <w:szCs w:val="24"/>
          <w:lang w:val="en-GB"/>
        </w:rPr>
        <w:t xml:space="preserve"> is the overall mean; </w:t>
      </w:r>
      <w:r w:rsidR="00735BEE">
        <w:rPr>
          <w:noProof/>
          <w:szCs w:val="24"/>
          <w:lang w:val="en-GB"/>
        </w:rPr>
        <w:t>β</w:t>
      </w:r>
      <w:r w:rsidR="00B67949">
        <w:rPr>
          <w:noProof/>
          <w:szCs w:val="24"/>
          <w:lang w:val="en-GB"/>
        </w:rPr>
        <w:t xml:space="preserve"> is </w:t>
      </w:r>
      <w:r w:rsidR="00735BEE">
        <w:rPr>
          <w:noProof/>
          <w:szCs w:val="24"/>
          <w:lang w:val="en-GB"/>
        </w:rPr>
        <w:t>the linear regression coefficient (allele substitution effect); x</w:t>
      </w:r>
      <w:r w:rsidR="00735BEE" w:rsidRPr="00B67949">
        <w:rPr>
          <w:noProof/>
          <w:szCs w:val="24"/>
          <w:vertAlign w:val="subscript"/>
          <w:lang w:val="en-GB"/>
        </w:rPr>
        <w:t>i</w:t>
      </w:r>
      <w:r w:rsidR="00735BEE" w:rsidRPr="00B67949">
        <w:rPr>
          <w:noProof/>
          <w:szCs w:val="24"/>
          <w:lang w:val="en-GB"/>
        </w:rPr>
        <w:t xml:space="preserve"> is the </w:t>
      </w:r>
      <w:r w:rsidR="00735BEE">
        <w:rPr>
          <w:noProof/>
          <w:szCs w:val="24"/>
          <w:lang w:val="en-GB"/>
        </w:rPr>
        <w:t xml:space="preserve">number of desired alleles (0, 1, 2); </w:t>
      </w:r>
      <w:proofErr w:type="spellStart"/>
      <w:r w:rsidR="00B67949" w:rsidRPr="00B67949">
        <w:rPr>
          <w:rFonts w:eastAsia="Revival565L2-Roman"/>
          <w:color w:val="auto"/>
          <w:szCs w:val="24"/>
          <w:lang w:val="en-GB" w:eastAsia="hr-HR"/>
        </w:rPr>
        <w:t>B</w:t>
      </w:r>
      <w:r w:rsidR="00B67949" w:rsidRPr="00B67949">
        <w:rPr>
          <w:rFonts w:eastAsia="Revival565L2-Roman"/>
          <w:color w:val="auto"/>
          <w:szCs w:val="24"/>
          <w:vertAlign w:val="subscript"/>
          <w:lang w:val="en-GB" w:eastAsia="hr-HR"/>
        </w:rPr>
        <w:t>j</w:t>
      </w:r>
      <w:proofErr w:type="spellEnd"/>
      <w:r w:rsidR="00B67949" w:rsidRPr="00B67949">
        <w:rPr>
          <w:rFonts w:eastAsia="Revival565L2-Roman"/>
          <w:color w:val="auto"/>
          <w:szCs w:val="24"/>
          <w:lang w:val="en-GB" w:eastAsia="hr-HR"/>
        </w:rPr>
        <w:t xml:space="preserve"> </w:t>
      </w:r>
      <w:r w:rsidR="00B67949" w:rsidRPr="00B67949">
        <w:rPr>
          <w:noProof/>
          <w:szCs w:val="24"/>
          <w:lang w:val="en-GB"/>
        </w:rPr>
        <w:t>is effect of breed; A</w:t>
      </w:r>
      <w:r w:rsidR="00B67949" w:rsidRPr="00B67949">
        <w:rPr>
          <w:noProof/>
          <w:szCs w:val="24"/>
          <w:vertAlign w:val="subscript"/>
          <w:lang w:val="en-GB"/>
        </w:rPr>
        <w:t>k</w:t>
      </w:r>
      <w:r w:rsidR="00B67949" w:rsidRPr="00B67949">
        <w:rPr>
          <w:noProof/>
          <w:szCs w:val="24"/>
          <w:lang w:val="en-GB"/>
        </w:rPr>
        <w:t xml:space="preserve"> is effect of slaughter age; e</w:t>
      </w:r>
      <w:r w:rsidR="00B67949" w:rsidRPr="00B67949">
        <w:rPr>
          <w:noProof/>
          <w:szCs w:val="24"/>
          <w:vertAlign w:val="subscript"/>
          <w:lang w:val="en-GB"/>
        </w:rPr>
        <w:t>ijkh</w:t>
      </w:r>
      <w:r w:rsidR="00B67949" w:rsidRPr="00B67949">
        <w:rPr>
          <w:noProof/>
          <w:szCs w:val="24"/>
          <w:lang w:val="en-GB"/>
        </w:rPr>
        <w:t xml:space="preserve"> is the random residual effect)</w:t>
      </w:r>
      <w:r w:rsidR="00B67949">
        <w:rPr>
          <w:szCs w:val="24"/>
          <w:lang w:val="en-GB"/>
        </w:rPr>
        <w:t xml:space="preserve">. </w:t>
      </w:r>
    </w:p>
    <w:p w14:paraId="5C3B1BFF" w14:textId="2D9247FB" w:rsidR="00370D0C" w:rsidRPr="00BF378B" w:rsidRDefault="00370D0C" w:rsidP="00D83259">
      <w:pPr>
        <w:rPr>
          <w:noProof/>
          <w:color w:val="000000" w:themeColor="text1"/>
          <w:szCs w:val="24"/>
          <w:lang w:val="en-GB"/>
        </w:rPr>
      </w:pPr>
    </w:p>
    <w:p w14:paraId="62ADE95D" w14:textId="77777777" w:rsidR="00BF4388" w:rsidRPr="00BF378B" w:rsidRDefault="004D571C" w:rsidP="00BF4388">
      <w:pPr>
        <w:rPr>
          <w:b/>
          <w:noProof/>
          <w:color w:val="000000" w:themeColor="text1"/>
          <w:szCs w:val="24"/>
          <w:lang w:val="en-GB"/>
        </w:rPr>
      </w:pPr>
      <w:r w:rsidRPr="00BF378B">
        <w:rPr>
          <w:b/>
          <w:color w:val="000000" w:themeColor="text1"/>
          <w:lang w:val="en-GB"/>
        </w:rPr>
        <w:t>Results and discussion</w:t>
      </w:r>
    </w:p>
    <w:p w14:paraId="4C2148CE" w14:textId="07CB4B40" w:rsidR="00334C3D" w:rsidRPr="00BF378B" w:rsidRDefault="00334C3D" w:rsidP="00712C09">
      <w:pPr>
        <w:rPr>
          <w:rFonts w:cs="Arial"/>
          <w:color w:val="000000" w:themeColor="text1"/>
          <w:szCs w:val="24"/>
          <w:lang w:val="en-GB"/>
        </w:rPr>
      </w:pPr>
      <w:r w:rsidRPr="00BF378B">
        <w:rPr>
          <w:rFonts w:cs="Arial"/>
          <w:color w:val="000000" w:themeColor="text1"/>
          <w:szCs w:val="24"/>
          <w:lang w:val="en-GB"/>
        </w:rPr>
        <w:t xml:space="preserve">Descriptive statistics of slaughter age, weight of live animals, </w:t>
      </w:r>
      <w:r w:rsidR="00712C09" w:rsidRPr="00BF378B">
        <w:rPr>
          <w:rFonts w:cs="Arial"/>
          <w:color w:val="000000" w:themeColor="text1"/>
          <w:szCs w:val="24"/>
          <w:lang w:val="en-GB"/>
        </w:rPr>
        <w:t xml:space="preserve">carcass weight, EUROP classification, ratio of different tissue types in rib </w:t>
      </w:r>
      <w:r w:rsidR="00EB4AD2" w:rsidRPr="00BF378B">
        <w:rPr>
          <w:rFonts w:cs="Arial"/>
          <w:color w:val="000000" w:themeColor="text1"/>
          <w:szCs w:val="24"/>
          <w:lang w:val="en-GB"/>
        </w:rPr>
        <w:t>clip</w:t>
      </w:r>
      <w:r w:rsidR="00712C09" w:rsidRPr="00BF378B">
        <w:rPr>
          <w:rFonts w:cs="Arial"/>
          <w:color w:val="000000" w:themeColor="text1"/>
          <w:szCs w:val="24"/>
          <w:lang w:val="en-GB"/>
        </w:rPr>
        <w:t xml:space="preserve"> area, and</w:t>
      </w:r>
      <w:r w:rsidRPr="00BF378B">
        <w:rPr>
          <w:rFonts w:cs="Arial"/>
          <w:color w:val="000000" w:themeColor="text1"/>
          <w:szCs w:val="24"/>
          <w:lang w:val="en-GB"/>
        </w:rPr>
        <w:t xml:space="preserve"> </w:t>
      </w:r>
      <w:r w:rsidR="00712C09" w:rsidRPr="00BF378B">
        <w:rPr>
          <w:rFonts w:cs="Arial"/>
          <w:color w:val="000000" w:themeColor="text1"/>
          <w:szCs w:val="24"/>
          <w:lang w:val="en-GB"/>
        </w:rPr>
        <w:t xml:space="preserve">the </w:t>
      </w:r>
      <w:r w:rsidRPr="00BF378B">
        <w:rPr>
          <w:rFonts w:cs="Arial"/>
          <w:color w:val="000000" w:themeColor="text1"/>
          <w:szCs w:val="24"/>
          <w:lang w:val="en-GB"/>
        </w:rPr>
        <w:t xml:space="preserve">basic chemical composition of </w:t>
      </w:r>
      <w:r w:rsidR="00712C09" w:rsidRPr="00BF378B">
        <w:rPr>
          <w:rFonts w:cs="Arial"/>
          <w:color w:val="000000" w:themeColor="text1"/>
          <w:szCs w:val="24"/>
          <w:lang w:val="en-GB"/>
        </w:rPr>
        <w:t xml:space="preserve">meat from </w:t>
      </w:r>
      <w:proofErr w:type="spellStart"/>
      <w:r w:rsidR="00712C09" w:rsidRPr="00BF378B">
        <w:rPr>
          <w:rFonts w:cs="Arial"/>
          <w:color w:val="000000" w:themeColor="text1"/>
          <w:szCs w:val="24"/>
          <w:lang w:val="en-GB"/>
        </w:rPr>
        <w:t>hifers</w:t>
      </w:r>
      <w:proofErr w:type="spellEnd"/>
      <w:r w:rsidR="00712C09" w:rsidRPr="00BF378B">
        <w:rPr>
          <w:rFonts w:cs="Arial"/>
          <w:color w:val="000000" w:themeColor="text1"/>
          <w:szCs w:val="24"/>
          <w:lang w:val="en-GB"/>
        </w:rPr>
        <w:t xml:space="preserve"> (</w:t>
      </w:r>
      <w:r w:rsidRPr="00BF378B">
        <w:rPr>
          <w:rFonts w:cs="Arial"/>
          <w:color w:val="000000" w:themeColor="text1"/>
          <w:szCs w:val="24"/>
          <w:lang w:val="en-GB"/>
        </w:rPr>
        <w:t>Table 1</w:t>
      </w:r>
      <w:r w:rsidR="00712C09" w:rsidRPr="00BF378B">
        <w:rPr>
          <w:rFonts w:cs="Arial"/>
          <w:color w:val="000000" w:themeColor="text1"/>
          <w:szCs w:val="24"/>
          <w:lang w:val="en-GB"/>
        </w:rPr>
        <w:t>)</w:t>
      </w:r>
      <w:r w:rsidRPr="00BF378B">
        <w:rPr>
          <w:rFonts w:cs="Arial"/>
          <w:color w:val="000000" w:themeColor="text1"/>
          <w:szCs w:val="24"/>
          <w:lang w:val="en-GB"/>
        </w:rPr>
        <w:t xml:space="preserve">. The highest coefficients </w:t>
      </w:r>
      <w:r w:rsidR="00712C09" w:rsidRPr="00BF378B">
        <w:rPr>
          <w:rFonts w:cs="Arial"/>
          <w:color w:val="000000" w:themeColor="text1"/>
          <w:szCs w:val="24"/>
          <w:lang w:val="en-GB"/>
        </w:rPr>
        <w:t xml:space="preserve">of variability </w:t>
      </w:r>
      <w:r w:rsidRPr="00BF378B">
        <w:rPr>
          <w:rFonts w:cs="Arial"/>
          <w:color w:val="000000" w:themeColor="text1"/>
          <w:szCs w:val="24"/>
          <w:lang w:val="en-GB"/>
        </w:rPr>
        <w:t xml:space="preserve">are </w:t>
      </w:r>
      <w:r w:rsidR="00712C09" w:rsidRPr="00BF378B">
        <w:rPr>
          <w:rFonts w:cs="Arial"/>
          <w:color w:val="000000" w:themeColor="text1"/>
          <w:szCs w:val="24"/>
          <w:lang w:val="en-GB"/>
        </w:rPr>
        <w:t>observed</w:t>
      </w:r>
      <w:r w:rsidRPr="00BF378B">
        <w:rPr>
          <w:rFonts w:cs="Arial"/>
          <w:color w:val="000000" w:themeColor="text1"/>
          <w:szCs w:val="24"/>
          <w:lang w:val="en-GB"/>
        </w:rPr>
        <w:t xml:space="preserve"> for the characte</w:t>
      </w:r>
      <w:r w:rsidR="00712C09" w:rsidRPr="00BF378B">
        <w:rPr>
          <w:rFonts w:cs="Arial"/>
          <w:color w:val="000000" w:themeColor="text1"/>
          <w:szCs w:val="24"/>
          <w:lang w:val="en-GB"/>
        </w:rPr>
        <w:t>ristics associated with the amount of</w:t>
      </w:r>
      <w:r w:rsidRPr="00BF378B">
        <w:rPr>
          <w:rFonts w:cs="Arial"/>
          <w:color w:val="000000" w:themeColor="text1"/>
          <w:szCs w:val="24"/>
          <w:lang w:val="en-GB"/>
        </w:rPr>
        <w:t xml:space="preserve"> fatty tissue in carcass</w:t>
      </w:r>
      <w:r w:rsidR="00712C09" w:rsidRPr="00BF378B">
        <w:rPr>
          <w:rFonts w:cs="Arial"/>
          <w:color w:val="000000" w:themeColor="text1"/>
          <w:szCs w:val="24"/>
          <w:lang w:val="en-GB"/>
        </w:rPr>
        <w:t>es (</w:t>
      </w:r>
      <w:r w:rsidR="00712C09" w:rsidRPr="00BF378B">
        <w:rPr>
          <w:rFonts w:eastAsia="Times New Roman"/>
          <w:color w:val="000000" w:themeColor="text1"/>
          <w:szCs w:val="24"/>
          <w:lang w:val="en-GB" w:eastAsia="hr-HR"/>
        </w:rPr>
        <w:t xml:space="preserve">carcass fatness score, fat tissue in </w:t>
      </w:r>
      <w:r w:rsidR="00712C09" w:rsidRPr="00BF378B">
        <w:rPr>
          <w:noProof/>
          <w:color w:val="000000" w:themeColor="text1"/>
          <w:lang w:val="en-GB"/>
        </w:rPr>
        <w:t>carcass,</w:t>
      </w:r>
      <w:r w:rsidR="00712C09" w:rsidRPr="00BF378B">
        <w:rPr>
          <w:rFonts w:eastAsia="Times New Roman"/>
          <w:color w:val="000000" w:themeColor="text1"/>
          <w:szCs w:val="24"/>
          <w:lang w:val="en-GB" w:eastAsia="hr-HR"/>
        </w:rPr>
        <w:t xml:space="preserve"> content of fat </w:t>
      </w:r>
      <w:r w:rsidR="00712C09" w:rsidRPr="00BF378B">
        <w:rPr>
          <w:rFonts w:cs="Arial"/>
          <w:color w:val="000000" w:themeColor="text1"/>
          <w:szCs w:val="24"/>
          <w:lang w:val="en-GB"/>
        </w:rPr>
        <w:t>in MLD</w:t>
      </w:r>
      <w:r w:rsidRPr="00BF378B">
        <w:rPr>
          <w:rFonts w:cs="Arial"/>
          <w:color w:val="000000" w:themeColor="text1"/>
          <w:szCs w:val="24"/>
          <w:lang w:val="en-GB"/>
        </w:rPr>
        <w:t>).</w:t>
      </w:r>
    </w:p>
    <w:p w14:paraId="17AE93F5" w14:textId="77777777" w:rsidR="00E71D62" w:rsidRPr="00BF378B" w:rsidRDefault="00E71D62" w:rsidP="00581465">
      <w:pPr>
        <w:rPr>
          <w:rFonts w:cs="Arial"/>
          <w:color w:val="000000" w:themeColor="text1"/>
          <w:szCs w:val="24"/>
          <w:lang w:val="en-GB"/>
        </w:rPr>
      </w:pPr>
    </w:p>
    <w:p w14:paraId="363575AD" w14:textId="5B129EC6" w:rsidR="0031490D" w:rsidRPr="00B67949" w:rsidRDefault="000B0C59" w:rsidP="00581465">
      <w:pPr>
        <w:rPr>
          <w:rFonts w:cs="Arial"/>
          <w:szCs w:val="24"/>
          <w:lang w:val="en-GB"/>
        </w:rPr>
      </w:pPr>
      <w:r w:rsidRPr="00B67949">
        <w:rPr>
          <w:rFonts w:cs="Arial"/>
          <w:szCs w:val="24"/>
          <w:lang w:val="en-GB"/>
        </w:rPr>
        <w:t>Table 1</w:t>
      </w:r>
      <w:r w:rsidR="0031490D" w:rsidRPr="00B67949">
        <w:rPr>
          <w:rFonts w:cs="Arial"/>
          <w:szCs w:val="24"/>
          <w:lang w:val="en-GB"/>
        </w:rPr>
        <w:t xml:space="preserve"> The mean, standard deviation, minimum, maximum and coefficient of variation of the studied traits</w:t>
      </w:r>
      <w:r w:rsidR="000E3BC3" w:rsidRPr="00B67949">
        <w:rPr>
          <w:rFonts w:cs="Arial"/>
          <w:szCs w:val="24"/>
          <w:lang w:val="en-GB"/>
        </w:rPr>
        <w:t xml:space="preserve"> </w:t>
      </w:r>
      <w:r w:rsidR="000E3BC3" w:rsidRPr="00B67949">
        <w:rPr>
          <w:rFonts w:eastAsia="Times New Roman"/>
          <w:szCs w:val="24"/>
          <w:lang w:val="en-GB" w:eastAsia="hr-HR"/>
        </w:rPr>
        <w:t>(n=47)</w:t>
      </w:r>
    </w:p>
    <w:tbl>
      <w:tblPr>
        <w:tblStyle w:val="Reetkatablice"/>
        <w:tblW w:w="494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1276"/>
        <w:gridCol w:w="1276"/>
        <w:gridCol w:w="1135"/>
        <w:gridCol w:w="1133"/>
        <w:gridCol w:w="989"/>
      </w:tblGrid>
      <w:tr w:rsidR="0031490D" w:rsidRPr="00B67949" w14:paraId="0AB3810F" w14:textId="50882432" w:rsidTr="00E771E4">
        <w:trPr>
          <w:trHeight w:val="300"/>
        </w:trPr>
        <w:tc>
          <w:tcPr>
            <w:tcW w:w="1735" w:type="pct"/>
            <w:tcBorders>
              <w:top w:val="single" w:sz="4" w:space="0" w:color="auto"/>
            </w:tcBorders>
            <w:noWrap/>
            <w:vAlign w:val="center"/>
            <w:hideMark/>
          </w:tcPr>
          <w:p w14:paraId="3252E849" w14:textId="498CA9B9" w:rsidR="0031490D" w:rsidRPr="00B67949" w:rsidRDefault="0031490D" w:rsidP="002312F9">
            <w:pPr>
              <w:jc w:val="left"/>
              <w:rPr>
                <w:rFonts w:eastAsia="Times New Roman"/>
                <w:szCs w:val="24"/>
                <w:lang w:val="en-GB" w:eastAsia="hr-HR"/>
              </w:rPr>
            </w:pPr>
            <w:r w:rsidRPr="00B67949">
              <w:rPr>
                <w:rFonts w:eastAsia="Times New Roman"/>
                <w:szCs w:val="24"/>
                <w:lang w:val="en-GB" w:eastAsia="hr-HR"/>
              </w:rPr>
              <w:t>Trait</w:t>
            </w:r>
          </w:p>
        </w:tc>
        <w:tc>
          <w:tcPr>
            <w:tcW w:w="717" w:type="pct"/>
            <w:tcBorders>
              <w:top w:val="single" w:sz="4" w:space="0" w:color="auto"/>
            </w:tcBorders>
            <w:noWrap/>
            <w:vAlign w:val="center"/>
            <w:hideMark/>
          </w:tcPr>
          <w:p w14:paraId="31A5FE47" w14:textId="499ABA7F" w:rsidR="0031490D" w:rsidRPr="00B67949" w:rsidRDefault="0031490D" w:rsidP="002312F9">
            <w:pPr>
              <w:jc w:val="center"/>
              <w:rPr>
                <w:rFonts w:eastAsia="Times New Roman"/>
                <w:szCs w:val="24"/>
                <w:lang w:val="en-GB" w:eastAsia="hr-HR"/>
              </w:rPr>
            </w:pPr>
            <w:r w:rsidRPr="00B67949">
              <w:rPr>
                <w:rFonts w:eastAsia="Times New Roman"/>
                <w:szCs w:val="24"/>
                <w:lang w:val="en-GB" w:eastAsia="hr-HR"/>
              </w:rPr>
              <w:t>Mean</w:t>
            </w:r>
          </w:p>
        </w:tc>
        <w:tc>
          <w:tcPr>
            <w:tcW w:w="717" w:type="pct"/>
            <w:tcBorders>
              <w:top w:val="single" w:sz="4" w:space="0" w:color="auto"/>
            </w:tcBorders>
            <w:noWrap/>
            <w:vAlign w:val="center"/>
            <w:hideMark/>
          </w:tcPr>
          <w:p w14:paraId="4818C7C1" w14:textId="7D82B772" w:rsidR="0031490D" w:rsidRPr="00B67949" w:rsidRDefault="0031490D" w:rsidP="002312F9">
            <w:pPr>
              <w:jc w:val="center"/>
              <w:rPr>
                <w:rFonts w:eastAsia="Times New Roman"/>
                <w:szCs w:val="24"/>
                <w:lang w:val="en-GB" w:eastAsia="hr-HR"/>
              </w:rPr>
            </w:pPr>
            <w:r w:rsidRPr="00B67949">
              <w:rPr>
                <w:rFonts w:eastAsia="Times New Roman"/>
                <w:szCs w:val="24"/>
                <w:lang w:val="en-GB" w:eastAsia="hr-HR"/>
              </w:rPr>
              <w:t>S.D.</w:t>
            </w:r>
          </w:p>
        </w:tc>
        <w:tc>
          <w:tcPr>
            <w:tcW w:w="638" w:type="pct"/>
            <w:tcBorders>
              <w:top w:val="single" w:sz="4" w:space="0" w:color="auto"/>
            </w:tcBorders>
            <w:noWrap/>
            <w:vAlign w:val="center"/>
            <w:hideMark/>
          </w:tcPr>
          <w:p w14:paraId="79B40868" w14:textId="246AD20B" w:rsidR="0031490D" w:rsidRPr="00B67949" w:rsidRDefault="0031490D" w:rsidP="002312F9">
            <w:pPr>
              <w:jc w:val="center"/>
              <w:rPr>
                <w:rFonts w:eastAsia="Times New Roman"/>
                <w:szCs w:val="24"/>
                <w:lang w:val="en-GB" w:eastAsia="hr-HR"/>
              </w:rPr>
            </w:pPr>
            <w:r w:rsidRPr="00B67949">
              <w:rPr>
                <w:rFonts w:eastAsia="Times New Roman"/>
                <w:szCs w:val="24"/>
                <w:lang w:val="en-GB" w:eastAsia="hr-HR"/>
              </w:rPr>
              <w:t>Min.</w:t>
            </w:r>
          </w:p>
        </w:tc>
        <w:tc>
          <w:tcPr>
            <w:tcW w:w="637" w:type="pct"/>
            <w:tcBorders>
              <w:top w:val="single" w:sz="4" w:space="0" w:color="auto"/>
            </w:tcBorders>
            <w:vAlign w:val="center"/>
          </w:tcPr>
          <w:p w14:paraId="11E0ABB8" w14:textId="46661449" w:rsidR="0031490D" w:rsidRPr="00B67949" w:rsidRDefault="0031490D" w:rsidP="00E71D62">
            <w:pPr>
              <w:jc w:val="center"/>
              <w:rPr>
                <w:rFonts w:eastAsia="Times New Roman"/>
                <w:szCs w:val="24"/>
                <w:lang w:val="en-GB" w:eastAsia="hr-HR"/>
              </w:rPr>
            </w:pPr>
            <w:r w:rsidRPr="00B67949">
              <w:rPr>
                <w:rFonts w:eastAsia="Times New Roman"/>
                <w:szCs w:val="24"/>
                <w:lang w:val="en-GB" w:eastAsia="hr-HR"/>
              </w:rPr>
              <w:t>M</w:t>
            </w:r>
            <w:r w:rsidR="00E71D62" w:rsidRPr="00B67949">
              <w:rPr>
                <w:rFonts w:eastAsia="Times New Roman"/>
                <w:szCs w:val="24"/>
                <w:lang w:val="en-GB" w:eastAsia="hr-HR"/>
              </w:rPr>
              <w:t>ax</w:t>
            </w:r>
            <w:r w:rsidRPr="00B67949">
              <w:rPr>
                <w:rFonts w:eastAsia="Times New Roman"/>
                <w:szCs w:val="24"/>
                <w:lang w:val="en-GB" w:eastAsia="hr-HR"/>
              </w:rPr>
              <w:t>.</w:t>
            </w:r>
          </w:p>
        </w:tc>
        <w:tc>
          <w:tcPr>
            <w:tcW w:w="556" w:type="pct"/>
            <w:tcBorders>
              <w:top w:val="single" w:sz="4" w:space="0" w:color="auto"/>
            </w:tcBorders>
            <w:vAlign w:val="center"/>
          </w:tcPr>
          <w:p w14:paraId="11E16543" w14:textId="007B5CD2" w:rsidR="0031490D" w:rsidRPr="00B67949" w:rsidRDefault="0031490D" w:rsidP="0031490D">
            <w:pPr>
              <w:jc w:val="center"/>
              <w:rPr>
                <w:rFonts w:eastAsia="Times New Roman"/>
                <w:szCs w:val="24"/>
                <w:lang w:val="en-GB" w:eastAsia="hr-HR"/>
              </w:rPr>
            </w:pPr>
            <w:r w:rsidRPr="00B67949">
              <w:rPr>
                <w:rFonts w:eastAsia="Times New Roman"/>
                <w:szCs w:val="24"/>
                <w:lang w:val="en-GB" w:eastAsia="hr-HR"/>
              </w:rPr>
              <w:t>CV</w:t>
            </w:r>
          </w:p>
        </w:tc>
      </w:tr>
      <w:tr w:rsidR="00E771E4" w:rsidRPr="00B67949" w14:paraId="342E7AE1" w14:textId="0EF67FAE" w:rsidTr="00E71D62">
        <w:trPr>
          <w:trHeight w:val="300"/>
        </w:trPr>
        <w:tc>
          <w:tcPr>
            <w:tcW w:w="1735" w:type="pct"/>
            <w:tcBorders>
              <w:top w:val="single" w:sz="4" w:space="0" w:color="auto"/>
            </w:tcBorders>
            <w:noWrap/>
            <w:vAlign w:val="center"/>
          </w:tcPr>
          <w:p w14:paraId="3AC3B8F4" w14:textId="535A2BA3" w:rsidR="00E771E4" w:rsidRPr="00B67949" w:rsidRDefault="00E71D62" w:rsidP="00E71D62">
            <w:pPr>
              <w:jc w:val="left"/>
              <w:rPr>
                <w:rFonts w:eastAsia="Times New Roman"/>
                <w:szCs w:val="24"/>
                <w:lang w:val="en-GB" w:eastAsia="hr-HR"/>
              </w:rPr>
            </w:pPr>
            <w:r w:rsidRPr="00B67949">
              <w:rPr>
                <w:rFonts w:eastAsia="Times New Roman"/>
                <w:szCs w:val="24"/>
                <w:lang w:val="en-GB" w:eastAsia="hr-HR"/>
              </w:rPr>
              <w:t>Slaughter age (month’s)</w:t>
            </w:r>
          </w:p>
        </w:tc>
        <w:tc>
          <w:tcPr>
            <w:tcW w:w="717" w:type="pct"/>
            <w:tcBorders>
              <w:top w:val="single" w:sz="4" w:space="0" w:color="auto"/>
            </w:tcBorders>
            <w:noWrap/>
            <w:vAlign w:val="center"/>
          </w:tcPr>
          <w:p w14:paraId="019B482E" w14:textId="3F0D44E2" w:rsidR="00E771E4" w:rsidRPr="00B67949" w:rsidRDefault="00E71D62" w:rsidP="00E71D62">
            <w:pPr>
              <w:jc w:val="center"/>
              <w:rPr>
                <w:rFonts w:eastAsia="Times New Roman"/>
                <w:szCs w:val="24"/>
                <w:lang w:val="en-GB" w:eastAsia="hr-HR"/>
              </w:rPr>
            </w:pPr>
            <w:r w:rsidRPr="00B67949">
              <w:rPr>
                <w:rFonts w:eastAsia="Times New Roman"/>
                <w:szCs w:val="24"/>
                <w:lang w:val="en-GB" w:eastAsia="hr-HR"/>
              </w:rPr>
              <w:t>15.21</w:t>
            </w:r>
          </w:p>
        </w:tc>
        <w:tc>
          <w:tcPr>
            <w:tcW w:w="717" w:type="pct"/>
            <w:tcBorders>
              <w:top w:val="single" w:sz="4" w:space="0" w:color="auto"/>
            </w:tcBorders>
            <w:noWrap/>
            <w:vAlign w:val="center"/>
          </w:tcPr>
          <w:p w14:paraId="3D2CB087" w14:textId="7017AF12" w:rsidR="00E771E4" w:rsidRPr="00B67949" w:rsidRDefault="00E71D62" w:rsidP="00E71D62">
            <w:pPr>
              <w:jc w:val="center"/>
              <w:rPr>
                <w:rFonts w:eastAsia="Times New Roman"/>
                <w:szCs w:val="24"/>
                <w:lang w:val="en-GB" w:eastAsia="hr-HR"/>
              </w:rPr>
            </w:pPr>
            <w:r w:rsidRPr="00B67949">
              <w:rPr>
                <w:rFonts w:eastAsia="Times New Roman"/>
                <w:szCs w:val="24"/>
                <w:lang w:val="en-GB" w:eastAsia="hr-HR"/>
              </w:rPr>
              <w:t>0.67</w:t>
            </w:r>
          </w:p>
        </w:tc>
        <w:tc>
          <w:tcPr>
            <w:tcW w:w="638" w:type="pct"/>
            <w:tcBorders>
              <w:top w:val="single" w:sz="4" w:space="0" w:color="auto"/>
            </w:tcBorders>
            <w:noWrap/>
            <w:vAlign w:val="center"/>
          </w:tcPr>
          <w:p w14:paraId="767CFE23" w14:textId="4FE70BE1" w:rsidR="00E771E4" w:rsidRPr="00B67949" w:rsidRDefault="00E71D62" w:rsidP="005801B7">
            <w:pPr>
              <w:jc w:val="center"/>
              <w:rPr>
                <w:rFonts w:eastAsia="Times New Roman"/>
                <w:szCs w:val="24"/>
                <w:lang w:val="en-GB" w:eastAsia="hr-HR"/>
              </w:rPr>
            </w:pPr>
            <w:r w:rsidRPr="00B67949">
              <w:rPr>
                <w:rFonts w:eastAsia="Times New Roman"/>
                <w:szCs w:val="24"/>
                <w:lang w:val="en-GB" w:eastAsia="hr-HR"/>
              </w:rPr>
              <w:t>12.0</w:t>
            </w:r>
          </w:p>
        </w:tc>
        <w:tc>
          <w:tcPr>
            <w:tcW w:w="637" w:type="pct"/>
            <w:tcBorders>
              <w:top w:val="single" w:sz="4" w:space="0" w:color="auto"/>
            </w:tcBorders>
            <w:vAlign w:val="center"/>
          </w:tcPr>
          <w:p w14:paraId="7219B18F" w14:textId="69DAE6C5" w:rsidR="00E771E4" w:rsidRPr="00B67949" w:rsidRDefault="00E71D62" w:rsidP="005801B7">
            <w:pPr>
              <w:jc w:val="center"/>
              <w:rPr>
                <w:rFonts w:eastAsia="Times New Roman"/>
                <w:szCs w:val="24"/>
                <w:lang w:val="en-GB" w:eastAsia="hr-HR"/>
              </w:rPr>
            </w:pPr>
            <w:r w:rsidRPr="00B67949">
              <w:rPr>
                <w:rFonts w:eastAsia="Times New Roman"/>
                <w:szCs w:val="24"/>
                <w:lang w:val="en-GB" w:eastAsia="hr-HR"/>
              </w:rPr>
              <w:t>16.5</w:t>
            </w:r>
          </w:p>
        </w:tc>
        <w:tc>
          <w:tcPr>
            <w:tcW w:w="556" w:type="pct"/>
            <w:tcBorders>
              <w:top w:val="single" w:sz="4" w:space="0" w:color="auto"/>
            </w:tcBorders>
            <w:vAlign w:val="bottom"/>
          </w:tcPr>
          <w:p w14:paraId="218CDC80" w14:textId="596EA54D" w:rsidR="00E771E4" w:rsidRPr="00B67949" w:rsidRDefault="00E71D62" w:rsidP="00E71D62">
            <w:pPr>
              <w:jc w:val="center"/>
              <w:rPr>
                <w:rFonts w:eastAsia="Times New Roman"/>
                <w:szCs w:val="24"/>
                <w:lang w:val="en-GB" w:eastAsia="hr-HR"/>
              </w:rPr>
            </w:pPr>
            <w:r w:rsidRPr="00B67949">
              <w:rPr>
                <w:rFonts w:eastAsia="Times New Roman"/>
                <w:szCs w:val="24"/>
                <w:lang w:val="en-GB" w:eastAsia="hr-HR"/>
              </w:rPr>
              <w:t>4.39</w:t>
            </w:r>
          </w:p>
        </w:tc>
      </w:tr>
      <w:tr w:rsidR="00E71D62" w:rsidRPr="00B67949" w14:paraId="24ADFE6E" w14:textId="77777777" w:rsidTr="00E771E4">
        <w:trPr>
          <w:trHeight w:val="300"/>
        </w:trPr>
        <w:tc>
          <w:tcPr>
            <w:tcW w:w="1735" w:type="pct"/>
            <w:noWrap/>
            <w:vAlign w:val="center"/>
          </w:tcPr>
          <w:p w14:paraId="64D2A48F" w14:textId="76F53D45" w:rsidR="00E71D62" w:rsidRPr="00B67949" w:rsidRDefault="00E71D62" w:rsidP="002312F9">
            <w:pPr>
              <w:jc w:val="left"/>
              <w:rPr>
                <w:rFonts w:eastAsia="Times New Roman"/>
                <w:szCs w:val="24"/>
                <w:lang w:val="en-GB" w:eastAsia="hr-HR"/>
              </w:rPr>
            </w:pPr>
            <w:r w:rsidRPr="00B67949">
              <w:rPr>
                <w:rFonts w:eastAsia="Times New Roman"/>
                <w:szCs w:val="24"/>
                <w:lang w:val="en-GB" w:eastAsia="hr-HR"/>
              </w:rPr>
              <w:t>Slaughter weight (kg)</w:t>
            </w:r>
          </w:p>
        </w:tc>
        <w:tc>
          <w:tcPr>
            <w:tcW w:w="717" w:type="pct"/>
            <w:noWrap/>
            <w:vAlign w:val="center"/>
          </w:tcPr>
          <w:p w14:paraId="00000035" w14:textId="1AD68BF3" w:rsidR="00E71D62" w:rsidRPr="00B67949" w:rsidRDefault="00E71D62" w:rsidP="00E71D62">
            <w:pPr>
              <w:jc w:val="center"/>
              <w:rPr>
                <w:szCs w:val="24"/>
                <w:lang w:val="en-GB"/>
              </w:rPr>
            </w:pPr>
            <w:r w:rsidRPr="00B67949">
              <w:rPr>
                <w:szCs w:val="24"/>
                <w:lang w:val="en-GB"/>
              </w:rPr>
              <w:t>472.8</w:t>
            </w:r>
          </w:p>
        </w:tc>
        <w:tc>
          <w:tcPr>
            <w:tcW w:w="717" w:type="pct"/>
            <w:noWrap/>
            <w:vAlign w:val="center"/>
          </w:tcPr>
          <w:p w14:paraId="1B14A734" w14:textId="748950F4" w:rsidR="00E71D62" w:rsidRPr="00B67949" w:rsidRDefault="00E71D62" w:rsidP="002312F9">
            <w:pPr>
              <w:jc w:val="center"/>
              <w:rPr>
                <w:szCs w:val="24"/>
                <w:lang w:val="en-GB"/>
              </w:rPr>
            </w:pPr>
            <w:r w:rsidRPr="00B67949">
              <w:rPr>
                <w:szCs w:val="24"/>
                <w:lang w:val="en-GB"/>
              </w:rPr>
              <w:t>38.45</w:t>
            </w:r>
          </w:p>
        </w:tc>
        <w:tc>
          <w:tcPr>
            <w:tcW w:w="638" w:type="pct"/>
            <w:noWrap/>
            <w:vAlign w:val="center"/>
          </w:tcPr>
          <w:p w14:paraId="025F4758" w14:textId="63C53A60" w:rsidR="00E71D62" w:rsidRPr="00B67949" w:rsidRDefault="00E71D62" w:rsidP="002312F9">
            <w:pPr>
              <w:jc w:val="center"/>
              <w:rPr>
                <w:szCs w:val="24"/>
                <w:lang w:val="en-GB"/>
              </w:rPr>
            </w:pPr>
            <w:r w:rsidRPr="00B67949">
              <w:rPr>
                <w:szCs w:val="24"/>
                <w:lang w:val="en-GB"/>
              </w:rPr>
              <w:t>406.0</w:t>
            </w:r>
          </w:p>
        </w:tc>
        <w:tc>
          <w:tcPr>
            <w:tcW w:w="637" w:type="pct"/>
            <w:vAlign w:val="center"/>
          </w:tcPr>
          <w:p w14:paraId="1C40A6E1" w14:textId="37B8679C" w:rsidR="00E71D62" w:rsidRPr="00B67949" w:rsidRDefault="00E71D62" w:rsidP="002312F9">
            <w:pPr>
              <w:jc w:val="center"/>
              <w:rPr>
                <w:szCs w:val="24"/>
                <w:lang w:val="en-GB"/>
              </w:rPr>
            </w:pPr>
            <w:r w:rsidRPr="00B67949">
              <w:rPr>
                <w:szCs w:val="24"/>
                <w:lang w:val="en-GB"/>
              </w:rPr>
              <w:t>565.0</w:t>
            </w:r>
          </w:p>
        </w:tc>
        <w:tc>
          <w:tcPr>
            <w:tcW w:w="556" w:type="pct"/>
            <w:vAlign w:val="bottom"/>
          </w:tcPr>
          <w:p w14:paraId="774ECA26" w14:textId="123E20D9" w:rsidR="00E71D62" w:rsidRPr="00B67949" w:rsidRDefault="00E71D62" w:rsidP="002312F9">
            <w:pPr>
              <w:jc w:val="center"/>
              <w:rPr>
                <w:szCs w:val="24"/>
                <w:lang w:val="en-GB"/>
              </w:rPr>
            </w:pPr>
            <w:r w:rsidRPr="00B67949">
              <w:rPr>
                <w:szCs w:val="24"/>
                <w:lang w:val="en-GB"/>
              </w:rPr>
              <w:t>8.13</w:t>
            </w:r>
          </w:p>
        </w:tc>
      </w:tr>
      <w:tr w:rsidR="00E71D62" w:rsidRPr="00B67949" w14:paraId="4BB55E77" w14:textId="33F3ED5F" w:rsidTr="00E771E4">
        <w:trPr>
          <w:trHeight w:val="300"/>
        </w:trPr>
        <w:tc>
          <w:tcPr>
            <w:tcW w:w="1735" w:type="pct"/>
            <w:noWrap/>
            <w:vAlign w:val="center"/>
            <w:hideMark/>
          </w:tcPr>
          <w:p w14:paraId="236AD8EB" w14:textId="77777777" w:rsidR="00E71D62" w:rsidRPr="00B67949" w:rsidRDefault="00E71D62" w:rsidP="002312F9">
            <w:pPr>
              <w:jc w:val="left"/>
              <w:rPr>
                <w:rFonts w:eastAsia="Times New Roman"/>
                <w:szCs w:val="24"/>
                <w:lang w:val="en-GB" w:eastAsia="hr-HR"/>
              </w:rPr>
            </w:pPr>
            <w:r w:rsidRPr="00B67949">
              <w:rPr>
                <w:rFonts w:eastAsia="Times New Roman"/>
                <w:szCs w:val="24"/>
                <w:lang w:val="en-GB" w:eastAsia="hr-HR"/>
              </w:rPr>
              <w:t>Cold carcass weight (kg)</w:t>
            </w:r>
          </w:p>
        </w:tc>
        <w:tc>
          <w:tcPr>
            <w:tcW w:w="717" w:type="pct"/>
            <w:noWrap/>
            <w:vAlign w:val="center"/>
          </w:tcPr>
          <w:p w14:paraId="55107940" w14:textId="3FAD9259" w:rsidR="00E71D62" w:rsidRPr="00B67949" w:rsidRDefault="00E71D62" w:rsidP="00E71D62">
            <w:pPr>
              <w:jc w:val="center"/>
              <w:rPr>
                <w:rFonts w:eastAsia="Times New Roman"/>
                <w:szCs w:val="24"/>
                <w:lang w:val="en-GB" w:eastAsia="hr-HR"/>
              </w:rPr>
            </w:pPr>
            <w:r w:rsidRPr="00B67949">
              <w:rPr>
                <w:szCs w:val="24"/>
                <w:lang w:val="en-GB"/>
              </w:rPr>
              <w:t>267.7</w:t>
            </w:r>
          </w:p>
        </w:tc>
        <w:tc>
          <w:tcPr>
            <w:tcW w:w="717" w:type="pct"/>
            <w:noWrap/>
            <w:vAlign w:val="center"/>
          </w:tcPr>
          <w:p w14:paraId="740869D5" w14:textId="685580D4" w:rsidR="00E71D62" w:rsidRPr="00B67949" w:rsidRDefault="00E71D62" w:rsidP="002312F9">
            <w:pPr>
              <w:jc w:val="center"/>
              <w:rPr>
                <w:rFonts w:eastAsia="Times New Roman"/>
                <w:szCs w:val="24"/>
                <w:lang w:val="en-GB" w:eastAsia="hr-HR"/>
              </w:rPr>
            </w:pPr>
            <w:r w:rsidRPr="00B67949">
              <w:rPr>
                <w:szCs w:val="24"/>
                <w:lang w:val="en-GB"/>
              </w:rPr>
              <w:t>21.03</w:t>
            </w:r>
          </w:p>
        </w:tc>
        <w:tc>
          <w:tcPr>
            <w:tcW w:w="638" w:type="pct"/>
            <w:noWrap/>
            <w:vAlign w:val="center"/>
          </w:tcPr>
          <w:p w14:paraId="01D10B91" w14:textId="261C41D1" w:rsidR="00E71D62" w:rsidRPr="00B67949" w:rsidRDefault="00E71D62" w:rsidP="002312F9">
            <w:pPr>
              <w:jc w:val="center"/>
              <w:rPr>
                <w:rFonts w:eastAsia="Times New Roman"/>
                <w:szCs w:val="24"/>
                <w:lang w:val="en-GB" w:eastAsia="hr-HR"/>
              </w:rPr>
            </w:pPr>
            <w:r w:rsidRPr="00B67949">
              <w:rPr>
                <w:szCs w:val="24"/>
                <w:lang w:val="en-GB"/>
              </w:rPr>
              <w:t>222.6</w:t>
            </w:r>
          </w:p>
        </w:tc>
        <w:tc>
          <w:tcPr>
            <w:tcW w:w="637" w:type="pct"/>
            <w:vAlign w:val="center"/>
          </w:tcPr>
          <w:p w14:paraId="2DBC3032" w14:textId="4A90F4C1" w:rsidR="00E71D62" w:rsidRPr="00B67949" w:rsidRDefault="00E71D62" w:rsidP="002312F9">
            <w:pPr>
              <w:jc w:val="center"/>
              <w:rPr>
                <w:rFonts w:eastAsia="Times New Roman"/>
                <w:szCs w:val="24"/>
                <w:lang w:val="en-GB" w:eastAsia="hr-HR"/>
              </w:rPr>
            </w:pPr>
            <w:r w:rsidRPr="00B67949">
              <w:rPr>
                <w:szCs w:val="24"/>
                <w:lang w:val="en-GB"/>
              </w:rPr>
              <w:t>320.0</w:t>
            </w:r>
          </w:p>
        </w:tc>
        <w:tc>
          <w:tcPr>
            <w:tcW w:w="556" w:type="pct"/>
            <w:vAlign w:val="bottom"/>
          </w:tcPr>
          <w:p w14:paraId="2FE62B4E" w14:textId="46FA398C" w:rsidR="00E71D62" w:rsidRPr="00B67949" w:rsidRDefault="00E71D62" w:rsidP="002312F9">
            <w:pPr>
              <w:jc w:val="center"/>
              <w:rPr>
                <w:rFonts w:eastAsia="Times New Roman"/>
                <w:szCs w:val="24"/>
                <w:lang w:val="en-GB" w:eastAsia="hr-HR"/>
              </w:rPr>
            </w:pPr>
            <w:r w:rsidRPr="00B67949">
              <w:rPr>
                <w:szCs w:val="24"/>
                <w:lang w:val="en-GB"/>
              </w:rPr>
              <w:t>7.85</w:t>
            </w:r>
          </w:p>
        </w:tc>
      </w:tr>
      <w:tr w:rsidR="00E71D62" w:rsidRPr="00B67949" w14:paraId="4E387A91" w14:textId="2C18285A" w:rsidTr="00E771E4">
        <w:trPr>
          <w:trHeight w:val="300"/>
        </w:trPr>
        <w:tc>
          <w:tcPr>
            <w:tcW w:w="1735" w:type="pct"/>
            <w:noWrap/>
            <w:vAlign w:val="center"/>
            <w:hideMark/>
          </w:tcPr>
          <w:p w14:paraId="07F5DC32" w14:textId="360F2B58" w:rsidR="00E71D62" w:rsidRPr="00B67949" w:rsidRDefault="00665E95" w:rsidP="00315FC3">
            <w:pPr>
              <w:jc w:val="left"/>
              <w:rPr>
                <w:rFonts w:eastAsia="Times New Roman"/>
                <w:szCs w:val="24"/>
                <w:lang w:val="en-GB" w:eastAsia="hr-HR"/>
              </w:rPr>
            </w:pPr>
            <w:r w:rsidRPr="00B67949">
              <w:rPr>
                <w:rFonts w:eastAsia="Times New Roman"/>
                <w:szCs w:val="24"/>
                <w:lang w:val="en-GB" w:eastAsia="hr-HR"/>
              </w:rPr>
              <w:t>Net</w:t>
            </w:r>
            <w:r w:rsidR="00E71D62" w:rsidRPr="00B67949">
              <w:rPr>
                <w:rFonts w:eastAsia="Times New Roman"/>
                <w:szCs w:val="24"/>
                <w:lang w:val="en-GB" w:eastAsia="hr-HR"/>
              </w:rPr>
              <w:t xml:space="preserve"> </w:t>
            </w:r>
            <w:r w:rsidR="00315FC3" w:rsidRPr="00B67949">
              <w:rPr>
                <w:rFonts w:eastAsia="Times New Roman"/>
                <w:szCs w:val="24"/>
                <w:lang w:val="en-GB" w:eastAsia="hr-HR"/>
              </w:rPr>
              <w:t xml:space="preserve">daily </w:t>
            </w:r>
            <w:r w:rsidR="00E71D62" w:rsidRPr="00B67949">
              <w:rPr>
                <w:rFonts w:eastAsia="Times New Roman"/>
                <w:szCs w:val="24"/>
                <w:lang w:val="en-GB" w:eastAsia="hr-HR"/>
              </w:rPr>
              <w:t>gain (g)</w:t>
            </w:r>
          </w:p>
        </w:tc>
        <w:tc>
          <w:tcPr>
            <w:tcW w:w="717" w:type="pct"/>
            <w:noWrap/>
            <w:vAlign w:val="center"/>
          </w:tcPr>
          <w:p w14:paraId="7E0D0FED" w14:textId="7A3BC0C6" w:rsidR="00E71D62" w:rsidRPr="00B67949" w:rsidRDefault="00E71D62" w:rsidP="00E71D62">
            <w:pPr>
              <w:jc w:val="center"/>
              <w:rPr>
                <w:rFonts w:eastAsia="Times New Roman"/>
                <w:szCs w:val="24"/>
                <w:lang w:val="en-GB" w:eastAsia="hr-HR"/>
              </w:rPr>
            </w:pPr>
            <w:r w:rsidRPr="00B67949">
              <w:rPr>
                <w:szCs w:val="24"/>
                <w:lang w:val="en-GB"/>
              </w:rPr>
              <w:t>578.8</w:t>
            </w:r>
          </w:p>
        </w:tc>
        <w:tc>
          <w:tcPr>
            <w:tcW w:w="717" w:type="pct"/>
            <w:noWrap/>
            <w:vAlign w:val="center"/>
          </w:tcPr>
          <w:p w14:paraId="5628E5EA" w14:textId="2254623D" w:rsidR="00E71D62" w:rsidRPr="00B67949" w:rsidRDefault="00E71D62" w:rsidP="002312F9">
            <w:pPr>
              <w:jc w:val="center"/>
              <w:rPr>
                <w:rFonts w:eastAsia="Times New Roman"/>
                <w:szCs w:val="24"/>
                <w:lang w:val="en-GB" w:eastAsia="hr-HR"/>
              </w:rPr>
            </w:pPr>
            <w:r w:rsidRPr="00B67949">
              <w:rPr>
                <w:szCs w:val="24"/>
                <w:lang w:val="en-GB"/>
              </w:rPr>
              <w:t>59.79</w:t>
            </w:r>
          </w:p>
        </w:tc>
        <w:tc>
          <w:tcPr>
            <w:tcW w:w="638" w:type="pct"/>
            <w:noWrap/>
            <w:vAlign w:val="center"/>
          </w:tcPr>
          <w:p w14:paraId="7A0934B8" w14:textId="1267C00C" w:rsidR="00E71D62" w:rsidRPr="00B67949" w:rsidRDefault="00E71D62" w:rsidP="002312F9">
            <w:pPr>
              <w:jc w:val="center"/>
              <w:rPr>
                <w:rFonts w:eastAsia="Times New Roman"/>
                <w:szCs w:val="24"/>
                <w:lang w:val="en-GB" w:eastAsia="hr-HR"/>
              </w:rPr>
            </w:pPr>
            <w:r w:rsidRPr="00B67949">
              <w:rPr>
                <w:szCs w:val="24"/>
                <w:lang w:val="en-GB"/>
              </w:rPr>
              <w:t>500.2</w:t>
            </w:r>
          </w:p>
        </w:tc>
        <w:tc>
          <w:tcPr>
            <w:tcW w:w="637" w:type="pct"/>
            <w:vAlign w:val="center"/>
          </w:tcPr>
          <w:p w14:paraId="1BDB60C2" w14:textId="65CB0085" w:rsidR="00E71D62" w:rsidRPr="00B67949" w:rsidRDefault="00E71D62" w:rsidP="002312F9">
            <w:pPr>
              <w:jc w:val="center"/>
              <w:rPr>
                <w:rFonts w:eastAsia="Times New Roman"/>
                <w:szCs w:val="24"/>
                <w:lang w:val="en-GB" w:eastAsia="hr-HR"/>
              </w:rPr>
            </w:pPr>
            <w:r w:rsidRPr="00B67949">
              <w:rPr>
                <w:szCs w:val="24"/>
                <w:lang w:val="en-GB"/>
              </w:rPr>
              <w:t>874.3</w:t>
            </w:r>
          </w:p>
        </w:tc>
        <w:tc>
          <w:tcPr>
            <w:tcW w:w="556" w:type="pct"/>
            <w:vAlign w:val="bottom"/>
          </w:tcPr>
          <w:p w14:paraId="35D0D671" w14:textId="22027631" w:rsidR="00E71D62" w:rsidRPr="00B67949" w:rsidRDefault="00E71D62" w:rsidP="002312F9">
            <w:pPr>
              <w:jc w:val="center"/>
              <w:rPr>
                <w:rFonts w:eastAsia="Times New Roman"/>
                <w:szCs w:val="24"/>
                <w:lang w:val="en-GB" w:eastAsia="hr-HR"/>
              </w:rPr>
            </w:pPr>
            <w:r w:rsidRPr="00B67949">
              <w:rPr>
                <w:szCs w:val="24"/>
                <w:lang w:val="en-GB"/>
              </w:rPr>
              <w:t>10.33</w:t>
            </w:r>
          </w:p>
        </w:tc>
      </w:tr>
      <w:tr w:rsidR="00E71D62" w:rsidRPr="00B67949" w14:paraId="0D3EF275" w14:textId="27BF8D69" w:rsidTr="00E771E4">
        <w:trPr>
          <w:trHeight w:val="300"/>
        </w:trPr>
        <w:tc>
          <w:tcPr>
            <w:tcW w:w="1735" w:type="pct"/>
            <w:noWrap/>
            <w:vAlign w:val="center"/>
            <w:hideMark/>
          </w:tcPr>
          <w:p w14:paraId="67C2F31A" w14:textId="493A6948" w:rsidR="00E71D62" w:rsidRPr="00B67949" w:rsidRDefault="00315FC3" w:rsidP="00315FC3">
            <w:pPr>
              <w:jc w:val="left"/>
              <w:rPr>
                <w:rFonts w:eastAsia="Times New Roman"/>
                <w:szCs w:val="24"/>
                <w:lang w:val="en-GB" w:eastAsia="hr-HR"/>
              </w:rPr>
            </w:pPr>
            <w:r w:rsidRPr="00B67949">
              <w:rPr>
                <w:rFonts w:eastAsia="Times New Roman"/>
                <w:szCs w:val="24"/>
                <w:lang w:val="en-GB" w:eastAsia="hr-HR"/>
              </w:rPr>
              <w:t xml:space="preserve">Carcass EUROP </w:t>
            </w:r>
            <w:r w:rsidR="00E71D62" w:rsidRPr="00B67949">
              <w:rPr>
                <w:rFonts w:eastAsia="Times New Roman"/>
                <w:szCs w:val="24"/>
                <w:lang w:val="en-GB" w:eastAsia="hr-HR"/>
              </w:rPr>
              <w:t>score (1-5)</w:t>
            </w:r>
          </w:p>
        </w:tc>
        <w:tc>
          <w:tcPr>
            <w:tcW w:w="717" w:type="pct"/>
            <w:noWrap/>
            <w:vAlign w:val="center"/>
          </w:tcPr>
          <w:p w14:paraId="3CF511E6" w14:textId="7E49C9B5" w:rsidR="00E71D62" w:rsidRPr="00B67949" w:rsidRDefault="00E71D62" w:rsidP="002312F9">
            <w:pPr>
              <w:jc w:val="center"/>
              <w:rPr>
                <w:rFonts w:eastAsia="Times New Roman"/>
                <w:szCs w:val="24"/>
                <w:lang w:val="en-GB" w:eastAsia="hr-HR"/>
              </w:rPr>
            </w:pPr>
            <w:r w:rsidRPr="00B67949">
              <w:rPr>
                <w:szCs w:val="24"/>
                <w:lang w:val="en-GB"/>
              </w:rPr>
              <w:t>3.27</w:t>
            </w:r>
          </w:p>
        </w:tc>
        <w:tc>
          <w:tcPr>
            <w:tcW w:w="717" w:type="pct"/>
            <w:noWrap/>
            <w:vAlign w:val="center"/>
          </w:tcPr>
          <w:p w14:paraId="20BC7C26" w14:textId="02C45E95" w:rsidR="00E71D62" w:rsidRPr="00B67949" w:rsidRDefault="00E71D62" w:rsidP="002312F9">
            <w:pPr>
              <w:jc w:val="center"/>
              <w:rPr>
                <w:rFonts w:eastAsia="Times New Roman"/>
                <w:szCs w:val="24"/>
                <w:lang w:val="en-GB" w:eastAsia="hr-HR"/>
              </w:rPr>
            </w:pPr>
            <w:r w:rsidRPr="00B67949">
              <w:rPr>
                <w:szCs w:val="24"/>
                <w:lang w:val="en-GB"/>
              </w:rPr>
              <w:t>0.45</w:t>
            </w:r>
          </w:p>
        </w:tc>
        <w:tc>
          <w:tcPr>
            <w:tcW w:w="638" w:type="pct"/>
            <w:noWrap/>
            <w:vAlign w:val="center"/>
          </w:tcPr>
          <w:p w14:paraId="79F37E3D" w14:textId="73BA4B1D" w:rsidR="00E71D62" w:rsidRPr="00B67949" w:rsidRDefault="00E71D62" w:rsidP="002312F9">
            <w:pPr>
              <w:jc w:val="center"/>
              <w:rPr>
                <w:rFonts w:eastAsia="Times New Roman"/>
                <w:szCs w:val="24"/>
                <w:lang w:val="en-GB" w:eastAsia="hr-HR"/>
              </w:rPr>
            </w:pPr>
            <w:r w:rsidRPr="00B67949">
              <w:rPr>
                <w:szCs w:val="24"/>
                <w:lang w:val="en-GB"/>
              </w:rPr>
              <w:t>3.00</w:t>
            </w:r>
          </w:p>
        </w:tc>
        <w:tc>
          <w:tcPr>
            <w:tcW w:w="637" w:type="pct"/>
            <w:vAlign w:val="center"/>
          </w:tcPr>
          <w:p w14:paraId="22AEA852" w14:textId="5FC2587A" w:rsidR="00E71D62" w:rsidRPr="00B67949" w:rsidRDefault="00E71D62" w:rsidP="002312F9">
            <w:pPr>
              <w:jc w:val="center"/>
              <w:rPr>
                <w:rFonts w:eastAsia="Times New Roman"/>
                <w:szCs w:val="24"/>
                <w:lang w:val="en-GB" w:eastAsia="hr-HR"/>
              </w:rPr>
            </w:pPr>
            <w:r w:rsidRPr="00B67949">
              <w:rPr>
                <w:szCs w:val="24"/>
                <w:lang w:val="en-GB"/>
              </w:rPr>
              <w:t>4.00</w:t>
            </w:r>
          </w:p>
        </w:tc>
        <w:tc>
          <w:tcPr>
            <w:tcW w:w="556" w:type="pct"/>
            <w:vAlign w:val="bottom"/>
          </w:tcPr>
          <w:p w14:paraId="7AA0BF3F" w14:textId="68AF7509" w:rsidR="00E71D62" w:rsidRPr="00B67949" w:rsidRDefault="00E71D62" w:rsidP="002312F9">
            <w:pPr>
              <w:jc w:val="center"/>
              <w:rPr>
                <w:rFonts w:eastAsia="Times New Roman"/>
                <w:szCs w:val="24"/>
                <w:lang w:val="en-GB" w:eastAsia="hr-HR"/>
              </w:rPr>
            </w:pPr>
            <w:r w:rsidRPr="00B67949">
              <w:rPr>
                <w:szCs w:val="24"/>
                <w:lang w:val="en-GB"/>
              </w:rPr>
              <w:t>13.66</w:t>
            </w:r>
          </w:p>
        </w:tc>
      </w:tr>
      <w:tr w:rsidR="00E71D62" w:rsidRPr="00B67949" w14:paraId="4EB24A5E" w14:textId="03D5C662" w:rsidTr="00E771E4">
        <w:trPr>
          <w:trHeight w:val="300"/>
        </w:trPr>
        <w:tc>
          <w:tcPr>
            <w:tcW w:w="1735" w:type="pct"/>
            <w:noWrap/>
            <w:vAlign w:val="center"/>
            <w:hideMark/>
          </w:tcPr>
          <w:p w14:paraId="42E83591" w14:textId="095D2BC2" w:rsidR="00E71D62" w:rsidRPr="00B67949" w:rsidRDefault="00315FC3" w:rsidP="00315FC3">
            <w:pPr>
              <w:jc w:val="left"/>
              <w:rPr>
                <w:rFonts w:eastAsia="Times New Roman"/>
                <w:szCs w:val="24"/>
                <w:lang w:val="en-GB" w:eastAsia="hr-HR"/>
              </w:rPr>
            </w:pPr>
            <w:r w:rsidRPr="00B67949">
              <w:rPr>
                <w:rFonts w:eastAsia="Times New Roman"/>
                <w:szCs w:val="24"/>
                <w:lang w:val="en-GB" w:eastAsia="hr-HR"/>
              </w:rPr>
              <w:t>Carcass f</w:t>
            </w:r>
            <w:r w:rsidR="00E71D62" w:rsidRPr="00B67949">
              <w:rPr>
                <w:rFonts w:eastAsia="Times New Roman"/>
                <w:szCs w:val="24"/>
                <w:lang w:val="en-GB" w:eastAsia="hr-HR"/>
              </w:rPr>
              <w:t xml:space="preserve">atness </w:t>
            </w:r>
            <w:r w:rsidR="00737FFE" w:rsidRPr="00B67949">
              <w:rPr>
                <w:rFonts w:eastAsia="Times New Roman"/>
                <w:szCs w:val="24"/>
                <w:lang w:val="en-GB" w:eastAsia="hr-HR"/>
              </w:rPr>
              <w:t xml:space="preserve">score </w:t>
            </w:r>
            <w:r w:rsidR="00E71D62" w:rsidRPr="00B67949">
              <w:rPr>
                <w:rFonts w:eastAsia="Times New Roman"/>
                <w:szCs w:val="24"/>
                <w:lang w:val="en-GB" w:eastAsia="hr-HR"/>
              </w:rPr>
              <w:t>(1-5)</w:t>
            </w:r>
          </w:p>
        </w:tc>
        <w:tc>
          <w:tcPr>
            <w:tcW w:w="717" w:type="pct"/>
            <w:noWrap/>
            <w:vAlign w:val="center"/>
          </w:tcPr>
          <w:p w14:paraId="615BC4F4" w14:textId="15591506" w:rsidR="00E71D62" w:rsidRPr="00B67949" w:rsidRDefault="00E71D62" w:rsidP="002312F9">
            <w:pPr>
              <w:jc w:val="center"/>
              <w:rPr>
                <w:rFonts w:eastAsia="Times New Roman"/>
                <w:szCs w:val="24"/>
                <w:lang w:val="en-GB" w:eastAsia="hr-HR"/>
              </w:rPr>
            </w:pPr>
            <w:r w:rsidRPr="00B67949">
              <w:rPr>
                <w:szCs w:val="24"/>
                <w:lang w:val="en-GB"/>
              </w:rPr>
              <w:t>2.98</w:t>
            </w:r>
          </w:p>
        </w:tc>
        <w:tc>
          <w:tcPr>
            <w:tcW w:w="717" w:type="pct"/>
            <w:noWrap/>
            <w:vAlign w:val="center"/>
          </w:tcPr>
          <w:p w14:paraId="189FB735" w14:textId="24EEBFD6" w:rsidR="00E71D62" w:rsidRPr="00B67949" w:rsidRDefault="00E71D62" w:rsidP="002312F9">
            <w:pPr>
              <w:jc w:val="center"/>
              <w:rPr>
                <w:rFonts w:eastAsia="Times New Roman"/>
                <w:szCs w:val="24"/>
                <w:lang w:val="en-GB" w:eastAsia="hr-HR"/>
              </w:rPr>
            </w:pPr>
            <w:r w:rsidRPr="00B67949">
              <w:rPr>
                <w:szCs w:val="24"/>
                <w:lang w:val="en-GB"/>
              </w:rPr>
              <w:t>0.52</w:t>
            </w:r>
          </w:p>
        </w:tc>
        <w:tc>
          <w:tcPr>
            <w:tcW w:w="638" w:type="pct"/>
            <w:noWrap/>
            <w:vAlign w:val="center"/>
          </w:tcPr>
          <w:p w14:paraId="42443BAE" w14:textId="6640F928" w:rsidR="00E71D62" w:rsidRPr="00B67949" w:rsidRDefault="00E71D62" w:rsidP="002312F9">
            <w:pPr>
              <w:jc w:val="center"/>
              <w:rPr>
                <w:rFonts w:eastAsia="Times New Roman"/>
                <w:szCs w:val="24"/>
                <w:lang w:val="en-GB" w:eastAsia="hr-HR"/>
              </w:rPr>
            </w:pPr>
            <w:r w:rsidRPr="00B67949">
              <w:rPr>
                <w:szCs w:val="24"/>
                <w:lang w:val="en-GB"/>
              </w:rPr>
              <w:t>2.00</w:t>
            </w:r>
          </w:p>
        </w:tc>
        <w:tc>
          <w:tcPr>
            <w:tcW w:w="637" w:type="pct"/>
            <w:vAlign w:val="center"/>
          </w:tcPr>
          <w:p w14:paraId="32D0BA9A" w14:textId="4703EE5A" w:rsidR="00E71D62" w:rsidRPr="00B67949" w:rsidRDefault="00E71D62" w:rsidP="002312F9">
            <w:pPr>
              <w:jc w:val="center"/>
              <w:rPr>
                <w:rFonts w:eastAsia="Times New Roman"/>
                <w:szCs w:val="24"/>
                <w:lang w:val="en-GB" w:eastAsia="hr-HR"/>
              </w:rPr>
            </w:pPr>
            <w:r w:rsidRPr="00B67949">
              <w:rPr>
                <w:szCs w:val="24"/>
                <w:lang w:val="en-GB"/>
              </w:rPr>
              <w:t>4.00</w:t>
            </w:r>
          </w:p>
        </w:tc>
        <w:tc>
          <w:tcPr>
            <w:tcW w:w="556" w:type="pct"/>
            <w:vAlign w:val="bottom"/>
          </w:tcPr>
          <w:p w14:paraId="3B283FB2" w14:textId="19591D64" w:rsidR="00E71D62" w:rsidRPr="00B67949" w:rsidRDefault="00E71D62" w:rsidP="002312F9">
            <w:pPr>
              <w:jc w:val="center"/>
              <w:rPr>
                <w:rFonts w:eastAsia="Times New Roman"/>
                <w:szCs w:val="24"/>
                <w:lang w:val="en-GB" w:eastAsia="hr-HR"/>
              </w:rPr>
            </w:pPr>
            <w:r w:rsidRPr="00B67949">
              <w:rPr>
                <w:szCs w:val="24"/>
                <w:lang w:val="en-GB"/>
              </w:rPr>
              <w:t>17.45</w:t>
            </w:r>
          </w:p>
        </w:tc>
      </w:tr>
      <w:tr w:rsidR="00E71D62" w:rsidRPr="00B67949" w14:paraId="53A50B1E" w14:textId="12205BF2" w:rsidTr="00E771E4">
        <w:trPr>
          <w:trHeight w:val="300"/>
        </w:trPr>
        <w:tc>
          <w:tcPr>
            <w:tcW w:w="1735" w:type="pct"/>
            <w:noWrap/>
            <w:vAlign w:val="center"/>
            <w:hideMark/>
          </w:tcPr>
          <w:p w14:paraId="28DBCEEB" w14:textId="4ECC2433" w:rsidR="00E71D62" w:rsidRPr="00B67949" w:rsidRDefault="00E71D62" w:rsidP="00315FC3">
            <w:pPr>
              <w:jc w:val="left"/>
              <w:rPr>
                <w:rFonts w:eastAsia="Times New Roman"/>
                <w:szCs w:val="24"/>
                <w:lang w:val="en-GB" w:eastAsia="hr-HR"/>
              </w:rPr>
            </w:pPr>
            <w:r w:rsidRPr="00B67949">
              <w:rPr>
                <w:rFonts w:eastAsia="Times New Roman"/>
                <w:szCs w:val="24"/>
                <w:lang w:val="en-GB" w:eastAsia="hr-HR"/>
              </w:rPr>
              <w:t>Muscle tissue</w:t>
            </w:r>
            <w:r w:rsidR="00315FC3" w:rsidRPr="00B67949">
              <w:rPr>
                <w:rFonts w:eastAsia="Times New Roman"/>
                <w:szCs w:val="24"/>
                <w:lang w:val="en-GB" w:eastAsia="hr-HR"/>
              </w:rPr>
              <w:t xml:space="preserve"> in </w:t>
            </w:r>
            <w:r w:rsidR="00315FC3" w:rsidRPr="00B67949">
              <w:rPr>
                <w:noProof/>
                <w:lang w:val="en-GB"/>
              </w:rPr>
              <w:t>carcass</w:t>
            </w:r>
            <w:r w:rsidR="00315FC3" w:rsidRPr="00B67949">
              <w:rPr>
                <w:rFonts w:eastAsia="Times New Roman"/>
                <w:szCs w:val="24"/>
                <w:lang w:val="en-GB" w:eastAsia="hr-HR"/>
              </w:rPr>
              <w:t xml:space="preserve"> </w:t>
            </w:r>
            <w:r w:rsidRPr="00B67949">
              <w:rPr>
                <w:rFonts w:eastAsia="Times New Roman"/>
                <w:szCs w:val="24"/>
                <w:lang w:val="en-GB" w:eastAsia="hr-HR"/>
              </w:rPr>
              <w:t>(%)</w:t>
            </w:r>
          </w:p>
        </w:tc>
        <w:tc>
          <w:tcPr>
            <w:tcW w:w="717" w:type="pct"/>
            <w:noWrap/>
            <w:vAlign w:val="center"/>
          </w:tcPr>
          <w:p w14:paraId="139DCDE3" w14:textId="64A087FD" w:rsidR="00E71D62" w:rsidRPr="00B67949" w:rsidRDefault="00E71D62" w:rsidP="002312F9">
            <w:pPr>
              <w:jc w:val="center"/>
              <w:rPr>
                <w:rFonts w:eastAsia="Times New Roman"/>
                <w:szCs w:val="24"/>
                <w:lang w:val="en-GB" w:eastAsia="hr-HR"/>
              </w:rPr>
            </w:pPr>
            <w:r w:rsidRPr="00B67949">
              <w:rPr>
                <w:szCs w:val="24"/>
                <w:lang w:val="en-GB"/>
              </w:rPr>
              <w:t>62.93</w:t>
            </w:r>
          </w:p>
        </w:tc>
        <w:tc>
          <w:tcPr>
            <w:tcW w:w="717" w:type="pct"/>
            <w:noWrap/>
            <w:vAlign w:val="center"/>
          </w:tcPr>
          <w:p w14:paraId="27F04001" w14:textId="4777886F" w:rsidR="00E71D62" w:rsidRPr="00B67949" w:rsidRDefault="00E71D62" w:rsidP="002312F9">
            <w:pPr>
              <w:jc w:val="center"/>
              <w:rPr>
                <w:rFonts w:eastAsia="Times New Roman"/>
                <w:szCs w:val="24"/>
                <w:lang w:val="en-GB" w:eastAsia="hr-HR"/>
              </w:rPr>
            </w:pPr>
            <w:r w:rsidRPr="00B67949">
              <w:rPr>
                <w:szCs w:val="24"/>
                <w:lang w:val="en-GB"/>
              </w:rPr>
              <w:t>3.83</w:t>
            </w:r>
          </w:p>
        </w:tc>
        <w:tc>
          <w:tcPr>
            <w:tcW w:w="638" w:type="pct"/>
            <w:noWrap/>
            <w:vAlign w:val="center"/>
          </w:tcPr>
          <w:p w14:paraId="46D4253A" w14:textId="2AF9DF58" w:rsidR="00E71D62" w:rsidRPr="00B67949" w:rsidRDefault="00E71D62" w:rsidP="002312F9">
            <w:pPr>
              <w:jc w:val="center"/>
              <w:rPr>
                <w:rFonts w:eastAsia="Times New Roman"/>
                <w:szCs w:val="24"/>
                <w:lang w:val="en-GB" w:eastAsia="hr-HR"/>
              </w:rPr>
            </w:pPr>
            <w:r w:rsidRPr="00B67949">
              <w:rPr>
                <w:szCs w:val="24"/>
                <w:lang w:val="en-GB"/>
              </w:rPr>
              <w:t>52.84</w:t>
            </w:r>
          </w:p>
        </w:tc>
        <w:tc>
          <w:tcPr>
            <w:tcW w:w="637" w:type="pct"/>
            <w:vAlign w:val="center"/>
          </w:tcPr>
          <w:p w14:paraId="109FFEF2" w14:textId="66381BFF" w:rsidR="00E71D62" w:rsidRPr="00B67949" w:rsidRDefault="00E71D62" w:rsidP="002312F9">
            <w:pPr>
              <w:jc w:val="center"/>
              <w:rPr>
                <w:rFonts w:eastAsia="Times New Roman"/>
                <w:szCs w:val="24"/>
                <w:lang w:val="en-GB" w:eastAsia="hr-HR"/>
              </w:rPr>
            </w:pPr>
            <w:r w:rsidRPr="00B67949">
              <w:rPr>
                <w:szCs w:val="24"/>
                <w:lang w:val="en-GB"/>
              </w:rPr>
              <w:t>70.55</w:t>
            </w:r>
          </w:p>
        </w:tc>
        <w:tc>
          <w:tcPr>
            <w:tcW w:w="556" w:type="pct"/>
            <w:vAlign w:val="bottom"/>
          </w:tcPr>
          <w:p w14:paraId="7E7402F1" w14:textId="64E29329" w:rsidR="00E71D62" w:rsidRPr="00B67949" w:rsidRDefault="00E71D62" w:rsidP="002312F9">
            <w:pPr>
              <w:jc w:val="center"/>
              <w:rPr>
                <w:rFonts w:eastAsia="Times New Roman"/>
                <w:szCs w:val="24"/>
                <w:lang w:val="en-GB" w:eastAsia="hr-HR"/>
              </w:rPr>
            </w:pPr>
            <w:r w:rsidRPr="00B67949">
              <w:rPr>
                <w:szCs w:val="24"/>
                <w:lang w:val="en-GB"/>
              </w:rPr>
              <w:t>6.08</w:t>
            </w:r>
          </w:p>
        </w:tc>
      </w:tr>
      <w:tr w:rsidR="00E71D62" w:rsidRPr="00B67949" w14:paraId="408D55B8" w14:textId="43A1C1F3" w:rsidTr="00E771E4">
        <w:trPr>
          <w:trHeight w:val="300"/>
        </w:trPr>
        <w:tc>
          <w:tcPr>
            <w:tcW w:w="1735" w:type="pct"/>
            <w:noWrap/>
            <w:vAlign w:val="center"/>
            <w:hideMark/>
          </w:tcPr>
          <w:p w14:paraId="7DA8710F" w14:textId="7F432AC1" w:rsidR="00E71D62" w:rsidRPr="00B67949" w:rsidRDefault="00E71D62" w:rsidP="00315FC3">
            <w:pPr>
              <w:jc w:val="left"/>
              <w:rPr>
                <w:rFonts w:eastAsia="Times New Roman"/>
                <w:szCs w:val="24"/>
                <w:lang w:val="en-GB" w:eastAsia="hr-HR"/>
              </w:rPr>
            </w:pPr>
            <w:r w:rsidRPr="00B67949">
              <w:rPr>
                <w:rFonts w:eastAsia="Times New Roman"/>
                <w:szCs w:val="24"/>
                <w:lang w:val="en-GB" w:eastAsia="hr-HR"/>
              </w:rPr>
              <w:t>Fat tissue</w:t>
            </w:r>
            <w:r w:rsidR="00315FC3" w:rsidRPr="00B67949">
              <w:rPr>
                <w:rFonts w:eastAsia="Times New Roman"/>
                <w:szCs w:val="24"/>
                <w:lang w:val="en-GB" w:eastAsia="hr-HR"/>
              </w:rPr>
              <w:t xml:space="preserve"> in </w:t>
            </w:r>
            <w:r w:rsidR="00315FC3" w:rsidRPr="00B67949">
              <w:rPr>
                <w:noProof/>
                <w:lang w:val="en-GB"/>
              </w:rPr>
              <w:t>carcass</w:t>
            </w:r>
            <w:r w:rsidR="00315FC3" w:rsidRPr="00B67949">
              <w:rPr>
                <w:rFonts w:eastAsia="Times New Roman"/>
                <w:szCs w:val="24"/>
                <w:lang w:val="en-GB" w:eastAsia="hr-HR"/>
              </w:rPr>
              <w:t xml:space="preserve"> </w:t>
            </w:r>
            <w:r w:rsidRPr="00B67949">
              <w:rPr>
                <w:rFonts w:eastAsia="Times New Roman"/>
                <w:szCs w:val="24"/>
                <w:lang w:val="en-GB" w:eastAsia="hr-HR"/>
              </w:rPr>
              <w:t>(%)</w:t>
            </w:r>
          </w:p>
        </w:tc>
        <w:tc>
          <w:tcPr>
            <w:tcW w:w="717" w:type="pct"/>
            <w:noWrap/>
            <w:vAlign w:val="center"/>
          </w:tcPr>
          <w:p w14:paraId="4206539F" w14:textId="70ECB864" w:rsidR="00E71D62" w:rsidRPr="00B67949" w:rsidRDefault="00E71D62" w:rsidP="002312F9">
            <w:pPr>
              <w:jc w:val="center"/>
              <w:rPr>
                <w:rFonts w:eastAsia="Times New Roman"/>
                <w:szCs w:val="24"/>
                <w:lang w:val="en-GB" w:eastAsia="hr-HR"/>
              </w:rPr>
            </w:pPr>
            <w:r w:rsidRPr="00B67949">
              <w:rPr>
                <w:szCs w:val="24"/>
                <w:lang w:val="en-GB"/>
              </w:rPr>
              <w:t>20.31</w:t>
            </w:r>
          </w:p>
        </w:tc>
        <w:tc>
          <w:tcPr>
            <w:tcW w:w="717" w:type="pct"/>
            <w:noWrap/>
            <w:vAlign w:val="center"/>
          </w:tcPr>
          <w:p w14:paraId="07C2C851" w14:textId="4F6E4DEA" w:rsidR="00E71D62" w:rsidRPr="00B67949" w:rsidRDefault="00E71D62" w:rsidP="002312F9">
            <w:pPr>
              <w:jc w:val="center"/>
              <w:rPr>
                <w:rFonts w:eastAsia="Times New Roman"/>
                <w:szCs w:val="24"/>
                <w:lang w:val="en-GB" w:eastAsia="hr-HR"/>
              </w:rPr>
            </w:pPr>
            <w:r w:rsidRPr="00B67949">
              <w:rPr>
                <w:szCs w:val="24"/>
                <w:lang w:val="en-GB"/>
              </w:rPr>
              <w:t>3.67</w:t>
            </w:r>
          </w:p>
        </w:tc>
        <w:tc>
          <w:tcPr>
            <w:tcW w:w="638" w:type="pct"/>
            <w:noWrap/>
            <w:vAlign w:val="center"/>
          </w:tcPr>
          <w:p w14:paraId="568B7ED3" w14:textId="5834E876" w:rsidR="00E71D62" w:rsidRPr="00B67949" w:rsidRDefault="00E71D62" w:rsidP="002312F9">
            <w:pPr>
              <w:jc w:val="center"/>
              <w:rPr>
                <w:rFonts w:eastAsia="Times New Roman"/>
                <w:szCs w:val="24"/>
                <w:lang w:val="en-GB" w:eastAsia="hr-HR"/>
              </w:rPr>
            </w:pPr>
            <w:r w:rsidRPr="00B67949">
              <w:rPr>
                <w:szCs w:val="24"/>
                <w:lang w:val="en-GB"/>
              </w:rPr>
              <w:t>13.09</w:t>
            </w:r>
          </w:p>
        </w:tc>
        <w:tc>
          <w:tcPr>
            <w:tcW w:w="637" w:type="pct"/>
            <w:vAlign w:val="center"/>
          </w:tcPr>
          <w:p w14:paraId="709F80E2" w14:textId="65196EBF" w:rsidR="00E71D62" w:rsidRPr="00B67949" w:rsidRDefault="00E71D62" w:rsidP="002312F9">
            <w:pPr>
              <w:jc w:val="center"/>
              <w:rPr>
                <w:rFonts w:eastAsia="Times New Roman"/>
                <w:szCs w:val="24"/>
                <w:lang w:val="en-GB" w:eastAsia="hr-HR"/>
              </w:rPr>
            </w:pPr>
            <w:r w:rsidRPr="00B67949">
              <w:rPr>
                <w:szCs w:val="24"/>
                <w:lang w:val="en-GB"/>
              </w:rPr>
              <w:t>31.35</w:t>
            </w:r>
          </w:p>
        </w:tc>
        <w:tc>
          <w:tcPr>
            <w:tcW w:w="556" w:type="pct"/>
            <w:vAlign w:val="bottom"/>
          </w:tcPr>
          <w:p w14:paraId="2F9A5E6C" w14:textId="5A977DB7" w:rsidR="00E71D62" w:rsidRPr="00B67949" w:rsidRDefault="00E71D62" w:rsidP="002312F9">
            <w:pPr>
              <w:jc w:val="center"/>
              <w:rPr>
                <w:rFonts w:eastAsia="Times New Roman"/>
                <w:szCs w:val="24"/>
                <w:lang w:val="en-GB" w:eastAsia="hr-HR"/>
              </w:rPr>
            </w:pPr>
            <w:r w:rsidRPr="00B67949">
              <w:rPr>
                <w:szCs w:val="24"/>
                <w:lang w:val="en-GB"/>
              </w:rPr>
              <w:t>18.06</w:t>
            </w:r>
          </w:p>
        </w:tc>
      </w:tr>
      <w:tr w:rsidR="00E71D62" w:rsidRPr="00B67949" w14:paraId="7D821C63" w14:textId="5025123A" w:rsidTr="00E771E4">
        <w:trPr>
          <w:trHeight w:val="300"/>
        </w:trPr>
        <w:tc>
          <w:tcPr>
            <w:tcW w:w="1735" w:type="pct"/>
            <w:noWrap/>
            <w:vAlign w:val="center"/>
            <w:hideMark/>
          </w:tcPr>
          <w:p w14:paraId="091E515C" w14:textId="08959C8F" w:rsidR="00E71D62" w:rsidRPr="00B67949" w:rsidRDefault="00E71D62" w:rsidP="002312F9">
            <w:pPr>
              <w:jc w:val="left"/>
              <w:rPr>
                <w:rFonts w:eastAsia="Times New Roman"/>
                <w:szCs w:val="24"/>
                <w:lang w:val="en-GB" w:eastAsia="hr-HR"/>
              </w:rPr>
            </w:pPr>
            <w:r w:rsidRPr="00B67949">
              <w:rPr>
                <w:rFonts w:eastAsia="Times New Roman"/>
                <w:szCs w:val="24"/>
                <w:lang w:val="en-GB" w:eastAsia="hr-HR"/>
              </w:rPr>
              <w:t xml:space="preserve">Bone </w:t>
            </w:r>
            <w:proofErr w:type="spellStart"/>
            <w:r w:rsidRPr="00B67949">
              <w:rPr>
                <w:rFonts w:eastAsia="Times New Roman"/>
                <w:szCs w:val="24"/>
                <w:lang w:val="en-GB" w:eastAsia="hr-HR"/>
              </w:rPr>
              <w:t>tisue</w:t>
            </w:r>
            <w:proofErr w:type="spellEnd"/>
            <w:r w:rsidRPr="00B67949">
              <w:rPr>
                <w:rFonts w:eastAsia="Times New Roman"/>
                <w:szCs w:val="24"/>
                <w:lang w:val="en-GB" w:eastAsia="hr-HR"/>
              </w:rPr>
              <w:t xml:space="preserve"> </w:t>
            </w:r>
            <w:r w:rsidR="00315FC3" w:rsidRPr="00B67949">
              <w:rPr>
                <w:rFonts w:eastAsia="Times New Roman"/>
                <w:szCs w:val="24"/>
                <w:lang w:val="en-GB" w:eastAsia="hr-HR"/>
              </w:rPr>
              <w:t xml:space="preserve">in </w:t>
            </w:r>
            <w:r w:rsidR="00315FC3" w:rsidRPr="00B67949">
              <w:rPr>
                <w:noProof/>
                <w:lang w:val="en-GB"/>
              </w:rPr>
              <w:t>carcass</w:t>
            </w:r>
            <w:r w:rsidR="00315FC3" w:rsidRPr="00B67949">
              <w:rPr>
                <w:rFonts w:eastAsia="Times New Roman"/>
                <w:szCs w:val="24"/>
                <w:lang w:val="en-GB" w:eastAsia="hr-HR"/>
              </w:rPr>
              <w:t xml:space="preserve"> </w:t>
            </w:r>
            <w:r w:rsidRPr="00B67949">
              <w:rPr>
                <w:rFonts w:eastAsia="Times New Roman"/>
                <w:szCs w:val="24"/>
                <w:lang w:val="en-GB" w:eastAsia="hr-HR"/>
              </w:rPr>
              <w:t>(%)</w:t>
            </w:r>
          </w:p>
        </w:tc>
        <w:tc>
          <w:tcPr>
            <w:tcW w:w="717" w:type="pct"/>
            <w:noWrap/>
            <w:vAlign w:val="center"/>
          </w:tcPr>
          <w:p w14:paraId="6B23DDE8" w14:textId="2DA6767B" w:rsidR="00E71D62" w:rsidRPr="00B67949" w:rsidRDefault="00E71D62" w:rsidP="002312F9">
            <w:pPr>
              <w:jc w:val="center"/>
              <w:rPr>
                <w:rFonts w:eastAsia="Times New Roman"/>
                <w:szCs w:val="24"/>
                <w:lang w:val="en-GB" w:eastAsia="hr-HR"/>
              </w:rPr>
            </w:pPr>
            <w:r w:rsidRPr="00B67949">
              <w:rPr>
                <w:szCs w:val="24"/>
                <w:lang w:val="en-GB"/>
              </w:rPr>
              <w:t>16.75</w:t>
            </w:r>
          </w:p>
        </w:tc>
        <w:tc>
          <w:tcPr>
            <w:tcW w:w="717" w:type="pct"/>
            <w:noWrap/>
            <w:vAlign w:val="center"/>
          </w:tcPr>
          <w:p w14:paraId="5A0502EB" w14:textId="5EF95721" w:rsidR="00E71D62" w:rsidRPr="00B67949" w:rsidRDefault="00E71D62" w:rsidP="002312F9">
            <w:pPr>
              <w:jc w:val="center"/>
              <w:rPr>
                <w:rFonts w:eastAsia="Times New Roman"/>
                <w:szCs w:val="24"/>
                <w:lang w:val="en-GB" w:eastAsia="hr-HR"/>
              </w:rPr>
            </w:pPr>
            <w:r w:rsidRPr="00B67949">
              <w:rPr>
                <w:szCs w:val="24"/>
                <w:lang w:val="en-GB"/>
              </w:rPr>
              <w:t>1.89</w:t>
            </w:r>
          </w:p>
        </w:tc>
        <w:tc>
          <w:tcPr>
            <w:tcW w:w="638" w:type="pct"/>
            <w:noWrap/>
            <w:vAlign w:val="center"/>
          </w:tcPr>
          <w:p w14:paraId="0D4DD21B" w14:textId="28D35601" w:rsidR="00E71D62" w:rsidRPr="00B67949" w:rsidRDefault="00E71D62" w:rsidP="002312F9">
            <w:pPr>
              <w:jc w:val="center"/>
              <w:rPr>
                <w:rFonts w:eastAsia="Times New Roman"/>
                <w:szCs w:val="24"/>
                <w:lang w:val="en-GB" w:eastAsia="hr-HR"/>
              </w:rPr>
            </w:pPr>
            <w:r w:rsidRPr="00B67949">
              <w:rPr>
                <w:szCs w:val="24"/>
                <w:lang w:val="en-GB"/>
              </w:rPr>
              <w:t>11.86</w:t>
            </w:r>
          </w:p>
        </w:tc>
        <w:tc>
          <w:tcPr>
            <w:tcW w:w="637" w:type="pct"/>
            <w:vAlign w:val="center"/>
          </w:tcPr>
          <w:p w14:paraId="1C9E213B" w14:textId="16ADF6F1" w:rsidR="00E71D62" w:rsidRPr="00B67949" w:rsidRDefault="00E71D62" w:rsidP="002312F9">
            <w:pPr>
              <w:jc w:val="center"/>
              <w:rPr>
                <w:rFonts w:eastAsia="Times New Roman"/>
                <w:szCs w:val="24"/>
                <w:lang w:val="en-GB" w:eastAsia="hr-HR"/>
              </w:rPr>
            </w:pPr>
            <w:r w:rsidRPr="00B67949">
              <w:rPr>
                <w:szCs w:val="24"/>
                <w:lang w:val="en-GB"/>
              </w:rPr>
              <w:t>20.85</w:t>
            </w:r>
          </w:p>
        </w:tc>
        <w:tc>
          <w:tcPr>
            <w:tcW w:w="556" w:type="pct"/>
            <w:vAlign w:val="bottom"/>
          </w:tcPr>
          <w:p w14:paraId="39390F5E" w14:textId="04DB3080" w:rsidR="00E71D62" w:rsidRPr="00B67949" w:rsidRDefault="00E71D62" w:rsidP="002312F9">
            <w:pPr>
              <w:jc w:val="center"/>
              <w:rPr>
                <w:rFonts w:eastAsia="Times New Roman"/>
                <w:szCs w:val="24"/>
                <w:lang w:val="en-GB" w:eastAsia="hr-HR"/>
              </w:rPr>
            </w:pPr>
            <w:r w:rsidRPr="00B67949">
              <w:rPr>
                <w:szCs w:val="24"/>
                <w:lang w:val="en-GB"/>
              </w:rPr>
              <w:t>11.27</w:t>
            </w:r>
          </w:p>
        </w:tc>
      </w:tr>
      <w:tr w:rsidR="00E71D62" w:rsidRPr="00B67949" w14:paraId="78ABD617" w14:textId="77777777" w:rsidTr="00E771E4">
        <w:trPr>
          <w:trHeight w:val="300"/>
        </w:trPr>
        <w:tc>
          <w:tcPr>
            <w:tcW w:w="1735" w:type="pct"/>
            <w:noWrap/>
            <w:vAlign w:val="center"/>
          </w:tcPr>
          <w:p w14:paraId="75461F49" w14:textId="43DF0AAC" w:rsidR="00E71D62" w:rsidRPr="00B67949" w:rsidRDefault="00737FFE" w:rsidP="00315FC3">
            <w:pPr>
              <w:jc w:val="left"/>
              <w:rPr>
                <w:rFonts w:eastAsia="Times New Roman"/>
                <w:szCs w:val="24"/>
                <w:lang w:val="en-GB" w:eastAsia="hr-HR"/>
              </w:rPr>
            </w:pPr>
            <w:r w:rsidRPr="00B67949">
              <w:rPr>
                <w:rFonts w:eastAsia="Times New Roman"/>
                <w:szCs w:val="24"/>
                <w:lang w:val="en-GB" w:eastAsia="hr-HR"/>
              </w:rPr>
              <w:t>Content of p</w:t>
            </w:r>
            <w:r w:rsidR="00E71D62" w:rsidRPr="00B67949">
              <w:rPr>
                <w:rFonts w:eastAsia="Times New Roman"/>
                <w:szCs w:val="24"/>
                <w:lang w:val="en-GB" w:eastAsia="hr-HR"/>
              </w:rPr>
              <w:t>rotein</w:t>
            </w:r>
            <w:r w:rsidR="00315FC3" w:rsidRPr="00B67949">
              <w:rPr>
                <w:rFonts w:eastAsia="Times New Roman"/>
                <w:szCs w:val="24"/>
                <w:lang w:val="en-GB" w:eastAsia="hr-HR"/>
              </w:rPr>
              <w:t xml:space="preserve"> (</w:t>
            </w:r>
            <w:r w:rsidRPr="00B67949">
              <w:rPr>
                <w:rFonts w:eastAsia="Times New Roman"/>
                <w:szCs w:val="24"/>
                <w:lang w:val="en-GB" w:eastAsia="hr-HR"/>
              </w:rPr>
              <w:t>%)</w:t>
            </w:r>
          </w:p>
        </w:tc>
        <w:tc>
          <w:tcPr>
            <w:tcW w:w="717" w:type="pct"/>
            <w:noWrap/>
            <w:vAlign w:val="center"/>
          </w:tcPr>
          <w:p w14:paraId="1E2B38F8" w14:textId="229EE20A" w:rsidR="00E71D62" w:rsidRPr="00B67949" w:rsidRDefault="00E71D62" w:rsidP="002312F9">
            <w:pPr>
              <w:jc w:val="center"/>
              <w:rPr>
                <w:szCs w:val="24"/>
                <w:lang w:val="en-GB"/>
              </w:rPr>
            </w:pPr>
            <w:r w:rsidRPr="00B67949">
              <w:rPr>
                <w:szCs w:val="24"/>
                <w:lang w:val="en-GB"/>
              </w:rPr>
              <w:t>21.94</w:t>
            </w:r>
          </w:p>
        </w:tc>
        <w:tc>
          <w:tcPr>
            <w:tcW w:w="717" w:type="pct"/>
            <w:noWrap/>
            <w:vAlign w:val="center"/>
          </w:tcPr>
          <w:p w14:paraId="7B3548E6" w14:textId="26BDC1D1" w:rsidR="00E71D62" w:rsidRPr="00B67949" w:rsidRDefault="00E71D62" w:rsidP="002312F9">
            <w:pPr>
              <w:jc w:val="center"/>
              <w:rPr>
                <w:szCs w:val="24"/>
                <w:lang w:val="en-GB"/>
              </w:rPr>
            </w:pPr>
            <w:r w:rsidRPr="00B67949">
              <w:rPr>
                <w:szCs w:val="24"/>
                <w:lang w:val="en-GB"/>
              </w:rPr>
              <w:t>1.38</w:t>
            </w:r>
          </w:p>
        </w:tc>
        <w:tc>
          <w:tcPr>
            <w:tcW w:w="638" w:type="pct"/>
            <w:noWrap/>
            <w:vAlign w:val="center"/>
          </w:tcPr>
          <w:p w14:paraId="463A9258" w14:textId="07681787" w:rsidR="00E71D62" w:rsidRPr="00B67949" w:rsidRDefault="00E71D62" w:rsidP="002312F9">
            <w:pPr>
              <w:jc w:val="center"/>
              <w:rPr>
                <w:szCs w:val="24"/>
                <w:lang w:val="en-GB"/>
              </w:rPr>
            </w:pPr>
            <w:r w:rsidRPr="00B67949">
              <w:rPr>
                <w:szCs w:val="24"/>
                <w:lang w:val="en-GB"/>
              </w:rPr>
              <w:t>17.82</w:t>
            </w:r>
          </w:p>
        </w:tc>
        <w:tc>
          <w:tcPr>
            <w:tcW w:w="637" w:type="pct"/>
            <w:vAlign w:val="center"/>
          </w:tcPr>
          <w:p w14:paraId="500D1E4C" w14:textId="2EB28760" w:rsidR="00E71D62" w:rsidRPr="00B67949" w:rsidRDefault="00E71D62" w:rsidP="002312F9">
            <w:pPr>
              <w:jc w:val="center"/>
              <w:rPr>
                <w:szCs w:val="24"/>
                <w:lang w:val="en-GB"/>
              </w:rPr>
            </w:pPr>
            <w:r w:rsidRPr="00B67949">
              <w:rPr>
                <w:szCs w:val="24"/>
                <w:lang w:val="en-GB"/>
              </w:rPr>
              <w:t>25.10</w:t>
            </w:r>
          </w:p>
        </w:tc>
        <w:tc>
          <w:tcPr>
            <w:tcW w:w="556" w:type="pct"/>
            <w:vAlign w:val="bottom"/>
          </w:tcPr>
          <w:p w14:paraId="22502BC4" w14:textId="2C4851A2" w:rsidR="00E71D62" w:rsidRPr="00B67949" w:rsidRDefault="00E71D62" w:rsidP="002312F9">
            <w:pPr>
              <w:jc w:val="center"/>
              <w:rPr>
                <w:szCs w:val="24"/>
                <w:lang w:val="en-GB"/>
              </w:rPr>
            </w:pPr>
            <w:r w:rsidRPr="00B67949">
              <w:rPr>
                <w:szCs w:val="24"/>
                <w:lang w:val="en-GB"/>
              </w:rPr>
              <w:t>6.30</w:t>
            </w:r>
          </w:p>
        </w:tc>
      </w:tr>
      <w:tr w:rsidR="00E71D62" w:rsidRPr="00B67949" w14:paraId="07571EF0" w14:textId="5D0F49E3" w:rsidTr="00E771E4">
        <w:trPr>
          <w:trHeight w:val="300"/>
        </w:trPr>
        <w:tc>
          <w:tcPr>
            <w:tcW w:w="1735" w:type="pct"/>
            <w:noWrap/>
            <w:vAlign w:val="center"/>
          </w:tcPr>
          <w:p w14:paraId="03880638" w14:textId="6BAF640D" w:rsidR="00E71D62" w:rsidRPr="00B67949" w:rsidRDefault="00737FFE" w:rsidP="00737FFE">
            <w:pPr>
              <w:jc w:val="left"/>
              <w:rPr>
                <w:rFonts w:eastAsia="Times New Roman"/>
                <w:szCs w:val="24"/>
                <w:lang w:val="en-GB" w:eastAsia="hr-HR"/>
              </w:rPr>
            </w:pPr>
            <w:r w:rsidRPr="00B67949">
              <w:rPr>
                <w:rFonts w:eastAsia="Times New Roman"/>
                <w:szCs w:val="24"/>
                <w:lang w:val="en-GB" w:eastAsia="hr-HR"/>
              </w:rPr>
              <w:t>Content of f</w:t>
            </w:r>
            <w:r w:rsidR="00E71D62" w:rsidRPr="00B67949">
              <w:rPr>
                <w:rFonts w:eastAsia="Times New Roman"/>
                <w:szCs w:val="24"/>
                <w:lang w:val="en-GB" w:eastAsia="hr-HR"/>
              </w:rPr>
              <w:t>at</w:t>
            </w:r>
            <w:r w:rsidRPr="00B67949">
              <w:rPr>
                <w:rFonts w:eastAsia="Times New Roman"/>
                <w:szCs w:val="24"/>
                <w:lang w:val="en-GB" w:eastAsia="hr-HR"/>
              </w:rPr>
              <w:t xml:space="preserve"> (%)</w:t>
            </w:r>
          </w:p>
        </w:tc>
        <w:tc>
          <w:tcPr>
            <w:tcW w:w="717" w:type="pct"/>
            <w:noWrap/>
            <w:vAlign w:val="center"/>
          </w:tcPr>
          <w:p w14:paraId="14633663" w14:textId="0FBC8AB6" w:rsidR="00E71D62" w:rsidRPr="00B67949" w:rsidRDefault="00E71D62" w:rsidP="002312F9">
            <w:pPr>
              <w:jc w:val="center"/>
              <w:rPr>
                <w:rFonts w:eastAsia="Times New Roman"/>
                <w:szCs w:val="24"/>
                <w:lang w:val="en-GB" w:eastAsia="hr-HR"/>
              </w:rPr>
            </w:pPr>
            <w:r w:rsidRPr="00B67949">
              <w:rPr>
                <w:szCs w:val="24"/>
                <w:lang w:val="en-GB"/>
              </w:rPr>
              <w:t>3.23</w:t>
            </w:r>
          </w:p>
        </w:tc>
        <w:tc>
          <w:tcPr>
            <w:tcW w:w="717" w:type="pct"/>
            <w:noWrap/>
            <w:vAlign w:val="center"/>
          </w:tcPr>
          <w:p w14:paraId="3D2A359A" w14:textId="6CA5CF93" w:rsidR="00E71D62" w:rsidRPr="00B67949" w:rsidRDefault="00E71D62" w:rsidP="002312F9">
            <w:pPr>
              <w:jc w:val="center"/>
              <w:rPr>
                <w:rFonts w:eastAsia="Times New Roman"/>
                <w:szCs w:val="24"/>
                <w:lang w:val="en-GB" w:eastAsia="hr-HR"/>
              </w:rPr>
            </w:pPr>
            <w:r w:rsidRPr="00B67949">
              <w:rPr>
                <w:szCs w:val="24"/>
                <w:lang w:val="en-GB"/>
              </w:rPr>
              <w:t>1.58</w:t>
            </w:r>
          </w:p>
        </w:tc>
        <w:tc>
          <w:tcPr>
            <w:tcW w:w="638" w:type="pct"/>
            <w:noWrap/>
            <w:vAlign w:val="center"/>
          </w:tcPr>
          <w:p w14:paraId="17573348" w14:textId="51B96BC3" w:rsidR="00E71D62" w:rsidRPr="00B67949" w:rsidRDefault="00E71D62" w:rsidP="002312F9">
            <w:pPr>
              <w:jc w:val="center"/>
              <w:rPr>
                <w:rFonts w:eastAsia="Times New Roman"/>
                <w:szCs w:val="24"/>
                <w:lang w:val="en-GB" w:eastAsia="hr-HR"/>
              </w:rPr>
            </w:pPr>
            <w:r w:rsidRPr="00B67949">
              <w:rPr>
                <w:szCs w:val="24"/>
                <w:lang w:val="en-GB"/>
              </w:rPr>
              <w:t>0.87</w:t>
            </w:r>
          </w:p>
        </w:tc>
        <w:tc>
          <w:tcPr>
            <w:tcW w:w="637" w:type="pct"/>
            <w:vAlign w:val="center"/>
          </w:tcPr>
          <w:p w14:paraId="79A4EB95" w14:textId="1EE2AD07" w:rsidR="00E71D62" w:rsidRPr="00B67949" w:rsidRDefault="00E71D62" w:rsidP="002312F9">
            <w:pPr>
              <w:jc w:val="center"/>
              <w:rPr>
                <w:rFonts w:eastAsia="Times New Roman"/>
                <w:szCs w:val="24"/>
                <w:lang w:val="en-GB" w:eastAsia="hr-HR"/>
              </w:rPr>
            </w:pPr>
            <w:r w:rsidRPr="00B67949">
              <w:rPr>
                <w:szCs w:val="24"/>
                <w:lang w:val="en-GB"/>
              </w:rPr>
              <w:t>9.50</w:t>
            </w:r>
          </w:p>
        </w:tc>
        <w:tc>
          <w:tcPr>
            <w:tcW w:w="556" w:type="pct"/>
            <w:vAlign w:val="bottom"/>
          </w:tcPr>
          <w:p w14:paraId="2E9260E8" w14:textId="28642DCA" w:rsidR="00E71D62" w:rsidRPr="00B67949" w:rsidRDefault="00E71D62" w:rsidP="002312F9">
            <w:pPr>
              <w:jc w:val="center"/>
              <w:rPr>
                <w:rFonts w:eastAsia="Times New Roman"/>
                <w:szCs w:val="24"/>
                <w:lang w:val="en-GB" w:eastAsia="hr-HR"/>
              </w:rPr>
            </w:pPr>
            <w:r w:rsidRPr="00B67949">
              <w:rPr>
                <w:szCs w:val="24"/>
                <w:lang w:val="en-GB"/>
              </w:rPr>
              <w:t>48.84</w:t>
            </w:r>
          </w:p>
        </w:tc>
      </w:tr>
      <w:tr w:rsidR="00E71D62" w:rsidRPr="00B67949" w14:paraId="1CA3F325" w14:textId="409C7D26" w:rsidTr="00E771E4">
        <w:trPr>
          <w:trHeight w:val="300"/>
        </w:trPr>
        <w:tc>
          <w:tcPr>
            <w:tcW w:w="1735" w:type="pct"/>
            <w:noWrap/>
            <w:vAlign w:val="center"/>
            <w:hideMark/>
          </w:tcPr>
          <w:p w14:paraId="344A7F22" w14:textId="3E8F50EC" w:rsidR="00E71D62" w:rsidRPr="00B67949" w:rsidRDefault="00737FFE" w:rsidP="00315FC3">
            <w:pPr>
              <w:jc w:val="left"/>
              <w:rPr>
                <w:rFonts w:eastAsia="Times New Roman"/>
                <w:szCs w:val="24"/>
                <w:lang w:val="en-GB" w:eastAsia="hr-HR"/>
              </w:rPr>
            </w:pPr>
            <w:r w:rsidRPr="00B67949">
              <w:rPr>
                <w:rFonts w:eastAsia="Times New Roman"/>
                <w:szCs w:val="24"/>
                <w:lang w:val="en-GB" w:eastAsia="hr-HR"/>
              </w:rPr>
              <w:t xml:space="preserve">Content of </w:t>
            </w:r>
            <w:r w:rsidR="00315FC3" w:rsidRPr="00B67949">
              <w:rPr>
                <w:rFonts w:eastAsia="Times New Roman"/>
                <w:szCs w:val="24"/>
                <w:lang w:val="en-GB" w:eastAsia="hr-HR"/>
              </w:rPr>
              <w:t>c</w:t>
            </w:r>
            <w:r w:rsidR="00E71D62" w:rsidRPr="00B67949">
              <w:rPr>
                <w:rFonts w:eastAsia="Times New Roman"/>
                <w:szCs w:val="24"/>
                <w:lang w:val="en-GB" w:eastAsia="hr-HR"/>
              </w:rPr>
              <w:t>ollagen</w:t>
            </w:r>
            <w:r w:rsidRPr="00B67949">
              <w:rPr>
                <w:rFonts w:eastAsia="Times New Roman"/>
                <w:szCs w:val="24"/>
                <w:lang w:val="en-GB" w:eastAsia="hr-HR"/>
              </w:rPr>
              <w:t xml:space="preserve"> (%)</w:t>
            </w:r>
          </w:p>
        </w:tc>
        <w:tc>
          <w:tcPr>
            <w:tcW w:w="717" w:type="pct"/>
            <w:noWrap/>
            <w:vAlign w:val="center"/>
          </w:tcPr>
          <w:p w14:paraId="28FBF9B2" w14:textId="1C31D74D" w:rsidR="00E71D62" w:rsidRPr="00B67949" w:rsidRDefault="00E71D62" w:rsidP="002312F9">
            <w:pPr>
              <w:jc w:val="center"/>
              <w:rPr>
                <w:rFonts w:eastAsia="Times New Roman"/>
                <w:szCs w:val="24"/>
                <w:lang w:val="en-GB" w:eastAsia="hr-HR"/>
              </w:rPr>
            </w:pPr>
            <w:r w:rsidRPr="00B67949">
              <w:rPr>
                <w:szCs w:val="24"/>
                <w:lang w:val="en-GB"/>
              </w:rPr>
              <w:t>1.41</w:t>
            </w:r>
          </w:p>
        </w:tc>
        <w:tc>
          <w:tcPr>
            <w:tcW w:w="717" w:type="pct"/>
            <w:noWrap/>
            <w:vAlign w:val="center"/>
          </w:tcPr>
          <w:p w14:paraId="65A6D9EF" w14:textId="63CB85F7" w:rsidR="00E71D62" w:rsidRPr="00B67949" w:rsidRDefault="00E71D62" w:rsidP="002312F9">
            <w:pPr>
              <w:jc w:val="center"/>
              <w:rPr>
                <w:rFonts w:eastAsia="Times New Roman"/>
                <w:szCs w:val="24"/>
                <w:lang w:val="en-GB" w:eastAsia="hr-HR"/>
              </w:rPr>
            </w:pPr>
            <w:r w:rsidRPr="00B67949">
              <w:rPr>
                <w:szCs w:val="24"/>
                <w:lang w:val="en-GB"/>
              </w:rPr>
              <w:t>0.14</w:t>
            </w:r>
          </w:p>
        </w:tc>
        <w:tc>
          <w:tcPr>
            <w:tcW w:w="638" w:type="pct"/>
            <w:noWrap/>
            <w:vAlign w:val="center"/>
          </w:tcPr>
          <w:p w14:paraId="4D038F79" w14:textId="3C718D09" w:rsidR="00E71D62" w:rsidRPr="00B67949" w:rsidRDefault="00E71D62" w:rsidP="002312F9">
            <w:pPr>
              <w:jc w:val="center"/>
              <w:rPr>
                <w:rFonts w:eastAsia="Times New Roman"/>
                <w:szCs w:val="24"/>
                <w:lang w:val="en-GB" w:eastAsia="hr-HR"/>
              </w:rPr>
            </w:pPr>
            <w:r w:rsidRPr="00B67949">
              <w:rPr>
                <w:szCs w:val="24"/>
                <w:lang w:val="en-GB"/>
              </w:rPr>
              <w:t>1.21</w:t>
            </w:r>
          </w:p>
        </w:tc>
        <w:tc>
          <w:tcPr>
            <w:tcW w:w="637" w:type="pct"/>
            <w:vAlign w:val="center"/>
          </w:tcPr>
          <w:p w14:paraId="4BB67468" w14:textId="080C3FD9" w:rsidR="00E71D62" w:rsidRPr="00B67949" w:rsidRDefault="00E71D62" w:rsidP="002312F9">
            <w:pPr>
              <w:jc w:val="center"/>
              <w:rPr>
                <w:rFonts w:eastAsia="Times New Roman"/>
                <w:szCs w:val="24"/>
                <w:lang w:val="en-GB" w:eastAsia="hr-HR"/>
              </w:rPr>
            </w:pPr>
            <w:r w:rsidRPr="00B67949">
              <w:rPr>
                <w:szCs w:val="24"/>
                <w:lang w:val="en-GB"/>
              </w:rPr>
              <w:t>1.87</w:t>
            </w:r>
          </w:p>
        </w:tc>
        <w:tc>
          <w:tcPr>
            <w:tcW w:w="556" w:type="pct"/>
            <w:vAlign w:val="bottom"/>
          </w:tcPr>
          <w:p w14:paraId="4E79DE9D" w14:textId="0DEAF7E4" w:rsidR="00E71D62" w:rsidRPr="00B67949" w:rsidRDefault="00E71D62" w:rsidP="002312F9">
            <w:pPr>
              <w:jc w:val="center"/>
              <w:rPr>
                <w:rFonts w:eastAsia="Times New Roman"/>
                <w:szCs w:val="24"/>
                <w:lang w:val="en-GB" w:eastAsia="hr-HR"/>
              </w:rPr>
            </w:pPr>
            <w:r w:rsidRPr="00B67949">
              <w:rPr>
                <w:szCs w:val="24"/>
                <w:lang w:val="en-GB"/>
              </w:rPr>
              <w:t>10.26</w:t>
            </w:r>
          </w:p>
        </w:tc>
      </w:tr>
      <w:tr w:rsidR="00E71D62" w:rsidRPr="00B67949" w14:paraId="2C778B2D" w14:textId="3C0ACF36" w:rsidTr="00E771E4">
        <w:trPr>
          <w:trHeight w:val="300"/>
        </w:trPr>
        <w:tc>
          <w:tcPr>
            <w:tcW w:w="1735" w:type="pct"/>
            <w:noWrap/>
            <w:vAlign w:val="center"/>
          </w:tcPr>
          <w:p w14:paraId="091776E9" w14:textId="16C73D99" w:rsidR="00E71D62" w:rsidRPr="00B67949" w:rsidRDefault="00737FFE" w:rsidP="00315FC3">
            <w:pPr>
              <w:jc w:val="left"/>
              <w:rPr>
                <w:rFonts w:eastAsia="Times New Roman"/>
                <w:szCs w:val="24"/>
                <w:lang w:val="en-GB" w:eastAsia="hr-HR"/>
              </w:rPr>
            </w:pPr>
            <w:r w:rsidRPr="00B67949">
              <w:rPr>
                <w:rFonts w:eastAsia="Times New Roman"/>
                <w:szCs w:val="24"/>
                <w:lang w:val="en-GB" w:eastAsia="hr-HR"/>
              </w:rPr>
              <w:lastRenderedPageBreak/>
              <w:t xml:space="preserve">Content of </w:t>
            </w:r>
            <w:r w:rsidR="00315FC3" w:rsidRPr="00B67949">
              <w:rPr>
                <w:rFonts w:eastAsia="Times New Roman"/>
                <w:szCs w:val="24"/>
                <w:lang w:val="en-GB" w:eastAsia="hr-HR"/>
              </w:rPr>
              <w:t>a</w:t>
            </w:r>
            <w:r w:rsidR="00E71D62" w:rsidRPr="00B67949">
              <w:rPr>
                <w:rFonts w:eastAsia="Times New Roman"/>
                <w:szCs w:val="24"/>
                <w:lang w:val="en-GB" w:eastAsia="hr-HR"/>
              </w:rPr>
              <w:t>sh</w:t>
            </w:r>
            <w:r w:rsidRPr="00B67949">
              <w:rPr>
                <w:rFonts w:eastAsia="Times New Roman"/>
                <w:szCs w:val="24"/>
                <w:lang w:val="en-GB" w:eastAsia="hr-HR"/>
              </w:rPr>
              <w:t xml:space="preserve"> (%)</w:t>
            </w:r>
          </w:p>
        </w:tc>
        <w:tc>
          <w:tcPr>
            <w:tcW w:w="717" w:type="pct"/>
            <w:noWrap/>
            <w:vAlign w:val="center"/>
          </w:tcPr>
          <w:p w14:paraId="64398615" w14:textId="21513B56" w:rsidR="00E71D62" w:rsidRPr="00B67949" w:rsidRDefault="00E71D62" w:rsidP="002312F9">
            <w:pPr>
              <w:jc w:val="center"/>
              <w:rPr>
                <w:rFonts w:eastAsia="Times New Roman"/>
                <w:szCs w:val="24"/>
                <w:lang w:val="en-GB" w:eastAsia="hr-HR"/>
              </w:rPr>
            </w:pPr>
            <w:r w:rsidRPr="00B67949">
              <w:rPr>
                <w:szCs w:val="24"/>
                <w:lang w:val="en-GB"/>
              </w:rPr>
              <w:t>0.58</w:t>
            </w:r>
          </w:p>
        </w:tc>
        <w:tc>
          <w:tcPr>
            <w:tcW w:w="717" w:type="pct"/>
            <w:noWrap/>
            <w:vAlign w:val="center"/>
          </w:tcPr>
          <w:p w14:paraId="0DD9D1BD" w14:textId="660E3583" w:rsidR="00E71D62" w:rsidRPr="00B67949" w:rsidRDefault="00E71D62" w:rsidP="002312F9">
            <w:pPr>
              <w:jc w:val="center"/>
              <w:rPr>
                <w:rFonts w:eastAsia="Times New Roman"/>
                <w:szCs w:val="24"/>
                <w:lang w:val="en-GB" w:eastAsia="hr-HR"/>
              </w:rPr>
            </w:pPr>
            <w:r w:rsidRPr="00B67949">
              <w:rPr>
                <w:szCs w:val="24"/>
                <w:lang w:val="en-GB"/>
              </w:rPr>
              <w:t>0.21</w:t>
            </w:r>
          </w:p>
        </w:tc>
        <w:tc>
          <w:tcPr>
            <w:tcW w:w="638" w:type="pct"/>
            <w:noWrap/>
            <w:vAlign w:val="center"/>
          </w:tcPr>
          <w:p w14:paraId="784FE7AB" w14:textId="77231831" w:rsidR="00E71D62" w:rsidRPr="00B67949" w:rsidRDefault="00E71D62" w:rsidP="002312F9">
            <w:pPr>
              <w:jc w:val="center"/>
              <w:rPr>
                <w:rFonts w:eastAsia="Times New Roman"/>
                <w:szCs w:val="24"/>
                <w:lang w:val="en-GB" w:eastAsia="hr-HR"/>
              </w:rPr>
            </w:pPr>
            <w:r w:rsidRPr="00B67949">
              <w:rPr>
                <w:szCs w:val="24"/>
                <w:lang w:val="en-GB"/>
              </w:rPr>
              <w:t>0.03</w:t>
            </w:r>
          </w:p>
        </w:tc>
        <w:tc>
          <w:tcPr>
            <w:tcW w:w="637" w:type="pct"/>
            <w:vAlign w:val="center"/>
          </w:tcPr>
          <w:p w14:paraId="045F0A56" w14:textId="4FAA606C" w:rsidR="00E71D62" w:rsidRPr="00B67949" w:rsidRDefault="00E71D62" w:rsidP="002312F9">
            <w:pPr>
              <w:jc w:val="center"/>
              <w:rPr>
                <w:rFonts w:eastAsia="Times New Roman"/>
                <w:szCs w:val="24"/>
                <w:lang w:val="en-GB" w:eastAsia="hr-HR"/>
              </w:rPr>
            </w:pPr>
            <w:r w:rsidRPr="00B67949">
              <w:rPr>
                <w:szCs w:val="24"/>
                <w:lang w:val="en-GB"/>
              </w:rPr>
              <w:t>1.02</w:t>
            </w:r>
          </w:p>
        </w:tc>
        <w:tc>
          <w:tcPr>
            <w:tcW w:w="556" w:type="pct"/>
            <w:vAlign w:val="bottom"/>
          </w:tcPr>
          <w:p w14:paraId="05BC15ED" w14:textId="3BB0D764" w:rsidR="00E71D62" w:rsidRPr="00B67949" w:rsidRDefault="00E71D62" w:rsidP="002312F9">
            <w:pPr>
              <w:jc w:val="center"/>
              <w:rPr>
                <w:rFonts w:eastAsia="Times New Roman"/>
                <w:szCs w:val="24"/>
                <w:lang w:val="en-GB" w:eastAsia="hr-HR"/>
              </w:rPr>
            </w:pPr>
            <w:r w:rsidRPr="00B67949">
              <w:rPr>
                <w:szCs w:val="24"/>
                <w:lang w:val="en-GB"/>
              </w:rPr>
              <w:t>36.39</w:t>
            </w:r>
          </w:p>
        </w:tc>
      </w:tr>
    </w:tbl>
    <w:p w14:paraId="3BF03DDF" w14:textId="77777777" w:rsidR="0031490D" w:rsidRPr="00B67949" w:rsidRDefault="0031490D" w:rsidP="00581465">
      <w:pPr>
        <w:rPr>
          <w:rFonts w:cs="Arial"/>
          <w:szCs w:val="24"/>
          <w:lang w:val="en-GB"/>
        </w:rPr>
      </w:pPr>
    </w:p>
    <w:p w14:paraId="44DE8BEC" w14:textId="70B44C9D" w:rsidR="00046F48" w:rsidRPr="00B67949" w:rsidRDefault="00336FDA" w:rsidP="00581465">
      <w:pPr>
        <w:rPr>
          <w:rFonts w:cs="Arial"/>
          <w:szCs w:val="24"/>
          <w:lang w:val="en-GB"/>
        </w:rPr>
      </w:pPr>
      <w:r w:rsidRPr="00B67949">
        <w:rPr>
          <w:rFonts w:cs="Arial"/>
          <w:szCs w:val="24"/>
          <w:lang w:val="en-GB"/>
        </w:rPr>
        <w:t xml:space="preserve">Using </w:t>
      </w:r>
      <w:r w:rsidR="000929A7" w:rsidRPr="00B67949">
        <w:rPr>
          <w:rFonts w:cs="Arial"/>
          <w:szCs w:val="24"/>
          <w:lang w:val="en-GB"/>
        </w:rPr>
        <w:t xml:space="preserve">the </w:t>
      </w:r>
      <w:r w:rsidR="000929A7" w:rsidRPr="00B67949">
        <w:rPr>
          <w:rFonts w:cs="Arial"/>
          <w:i/>
          <w:szCs w:val="24"/>
          <w:lang w:val="en-GB"/>
        </w:rPr>
        <w:t>AluI</w:t>
      </w:r>
      <w:r w:rsidR="000929A7" w:rsidRPr="00B67949">
        <w:rPr>
          <w:rFonts w:cs="Arial"/>
          <w:szCs w:val="24"/>
          <w:lang w:val="en-GB"/>
        </w:rPr>
        <w:t xml:space="preserve"> restriction enzyme </w:t>
      </w:r>
      <w:r w:rsidR="003A31D8" w:rsidRPr="00B67949">
        <w:rPr>
          <w:rFonts w:cs="Arial"/>
          <w:szCs w:val="24"/>
          <w:lang w:val="en-GB"/>
        </w:rPr>
        <w:t xml:space="preserve">GHR gene polymorphism was </w:t>
      </w:r>
      <w:r w:rsidR="000929A7" w:rsidRPr="00B67949">
        <w:rPr>
          <w:rFonts w:cs="Arial"/>
          <w:szCs w:val="24"/>
          <w:lang w:val="en-GB"/>
        </w:rPr>
        <w:t xml:space="preserve">determined on 342 bp fragment </w:t>
      </w:r>
      <w:proofErr w:type="spellStart"/>
      <w:r w:rsidR="000929A7" w:rsidRPr="00B67949">
        <w:rPr>
          <w:rFonts w:cs="Arial"/>
          <w:szCs w:val="24"/>
          <w:lang w:val="en-GB"/>
        </w:rPr>
        <w:t>codogene</w:t>
      </w:r>
      <w:proofErr w:type="spellEnd"/>
      <w:r w:rsidR="000929A7" w:rsidRPr="00B67949">
        <w:rPr>
          <w:rFonts w:cs="Arial"/>
          <w:szCs w:val="24"/>
          <w:lang w:val="en-GB"/>
        </w:rPr>
        <w:t xml:space="preserve"> sequence</w:t>
      </w:r>
      <w:r w:rsidR="00F31000" w:rsidRPr="00B67949">
        <w:rPr>
          <w:rFonts w:cs="Arial"/>
          <w:szCs w:val="24"/>
          <w:lang w:val="en-GB"/>
        </w:rPr>
        <w:t xml:space="preserve">. The homozygous </w:t>
      </w:r>
      <w:r w:rsidR="00003E40" w:rsidRPr="00B67949">
        <w:rPr>
          <w:rFonts w:cs="Arial"/>
          <w:szCs w:val="24"/>
          <w:lang w:val="en-GB"/>
        </w:rPr>
        <w:t>GHR</w:t>
      </w:r>
      <w:r w:rsidR="00F31000" w:rsidRPr="00B67949">
        <w:rPr>
          <w:rFonts w:cs="Arial"/>
          <w:szCs w:val="24"/>
          <w:vertAlign w:val="superscript"/>
          <w:lang w:val="en-GB"/>
        </w:rPr>
        <w:t>AA</w:t>
      </w:r>
      <w:r w:rsidR="00F31000" w:rsidRPr="00B67949">
        <w:rPr>
          <w:rFonts w:cs="Arial"/>
          <w:szCs w:val="24"/>
          <w:lang w:val="en-GB"/>
        </w:rPr>
        <w:t xml:space="preserve"> genotype </w:t>
      </w:r>
      <w:r w:rsidR="004E1F82" w:rsidRPr="00B67949">
        <w:rPr>
          <w:rFonts w:cs="Arial"/>
          <w:szCs w:val="24"/>
          <w:lang w:val="en-GB"/>
        </w:rPr>
        <w:t>was</w:t>
      </w:r>
      <w:r w:rsidR="00F31000" w:rsidRPr="00B67949">
        <w:rPr>
          <w:rFonts w:cs="Arial"/>
          <w:szCs w:val="24"/>
          <w:lang w:val="en-GB"/>
        </w:rPr>
        <w:t xml:space="preserve"> identified </w:t>
      </w:r>
      <w:r w:rsidR="00753043" w:rsidRPr="00B67949">
        <w:rPr>
          <w:rFonts w:cs="Arial"/>
          <w:szCs w:val="24"/>
          <w:lang w:val="en-GB"/>
        </w:rPr>
        <w:t xml:space="preserve">by </w:t>
      </w:r>
      <w:r w:rsidR="000929A7" w:rsidRPr="00B67949">
        <w:rPr>
          <w:rFonts w:cs="Arial"/>
          <w:szCs w:val="24"/>
          <w:lang w:val="en-GB"/>
        </w:rPr>
        <w:t>three</w:t>
      </w:r>
      <w:r w:rsidR="00D64842" w:rsidRPr="00B67949">
        <w:rPr>
          <w:rFonts w:cs="Arial"/>
          <w:szCs w:val="24"/>
          <w:lang w:val="en-GB"/>
        </w:rPr>
        <w:t xml:space="preserve"> fragments (191 </w:t>
      </w:r>
      <w:r w:rsidR="00753043" w:rsidRPr="00B67949">
        <w:rPr>
          <w:rFonts w:cs="Arial"/>
          <w:szCs w:val="24"/>
          <w:lang w:val="en-GB"/>
        </w:rPr>
        <w:t>b</w:t>
      </w:r>
      <w:r w:rsidR="00D64842" w:rsidRPr="00B67949">
        <w:rPr>
          <w:rFonts w:cs="Arial"/>
          <w:szCs w:val="24"/>
          <w:lang w:val="en-GB"/>
        </w:rPr>
        <w:t>p</w:t>
      </w:r>
      <w:r w:rsidR="00003E40" w:rsidRPr="00B67949">
        <w:rPr>
          <w:rFonts w:cs="Arial"/>
          <w:szCs w:val="24"/>
          <w:lang w:val="en-GB"/>
        </w:rPr>
        <w:t>,</w:t>
      </w:r>
      <w:r w:rsidR="00753043" w:rsidRPr="00B67949">
        <w:rPr>
          <w:rFonts w:cs="Arial"/>
          <w:szCs w:val="24"/>
          <w:lang w:val="en-GB"/>
        </w:rPr>
        <w:t xml:space="preserve"> 101 bp</w:t>
      </w:r>
      <w:r w:rsidR="00003E40" w:rsidRPr="00B67949">
        <w:rPr>
          <w:rFonts w:cs="Arial"/>
          <w:szCs w:val="24"/>
          <w:lang w:val="en-GB"/>
        </w:rPr>
        <w:t>,</w:t>
      </w:r>
      <w:r w:rsidR="00753043" w:rsidRPr="00B67949">
        <w:rPr>
          <w:rFonts w:cs="Arial"/>
          <w:szCs w:val="24"/>
          <w:lang w:val="en-GB"/>
        </w:rPr>
        <w:t xml:space="preserve"> 50 bp)</w:t>
      </w:r>
      <w:r w:rsidR="00003E40" w:rsidRPr="00B67949">
        <w:rPr>
          <w:rFonts w:cs="Arial"/>
          <w:szCs w:val="24"/>
          <w:lang w:val="en-GB"/>
        </w:rPr>
        <w:t>,</w:t>
      </w:r>
      <w:r w:rsidR="00753043" w:rsidRPr="00B67949">
        <w:rPr>
          <w:rFonts w:cs="Arial"/>
          <w:szCs w:val="24"/>
          <w:lang w:val="en-GB"/>
        </w:rPr>
        <w:t xml:space="preserve"> </w:t>
      </w:r>
      <w:r w:rsidR="00003E40" w:rsidRPr="00B67949">
        <w:rPr>
          <w:rFonts w:cs="Arial"/>
          <w:szCs w:val="24"/>
          <w:lang w:val="en-GB"/>
        </w:rPr>
        <w:t>GHR</w:t>
      </w:r>
      <w:r w:rsidR="00003E40" w:rsidRPr="00B67949">
        <w:rPr>
          <w:rFonts w:cs="Arial"/>
          <w:szCs w:val="24"/>
          <w:vertAlign w:val="superscript"/>
          <w:lang w:val="en-GB"/>
        </w:rPr>
        <w:t>GG</w:t>
      </w:r>
      <w:r w:rsidR="00753043" w:rsidRPr="00B67949">
        <w:rPr>
          <w:rFonts w:cs="Arial"/>
          <w:szCs w:val="24"/>
          <w:lang w:val="en-GB"/>
        </w:rPr>
        <w:t xml:space="preserve"> genotype by </w:t>
      </w:r>
      <w:r w:rsidR="000929A7" w:rsidRPr="00B67949">
        <w:rPr>
          <w:rFonts w:cs="Arial"/>
          <w:szCs w:val="24"/>
          <w:lang w:val="en-GB"/>
        </w:rPr>
        <w:t>two</w:t>
      </w:r>
      <w:r w:rsidR="00753043" w:rsidRPr="00B67949">
        <w:rPr>
          <w:rFonts w:cs="Arial"/>
          <w:szCs w:val="24"/>
          <w:lang w:val="en-GB"/>
        </w:rPr>
        <w:t xml:space="preserve"> fragments (191 bp</w:t>
      </w:r>
      <w:r w:rsidR="00003E40" w:rsidRPr="00B67949">
        <w:rPr>
          <w:rFonts w:cs="Arial"/>
          <w:szCs w:val="24"/>
          <w:lang w:val="en-GB"/>
        </w:rPr>
        <w:t>,</w:t>
      </w:r>
      <w:r w:rsidR="00753043" w:rsidRPr="00B67949">
        <w:rPr>
          <w:rFonts w:cs="Arial"/>
          <w:szCs w:val="24"/>
          <w:lang w:val="en-GB"/>
        </w:rPr>
        <w:t xml:space="preserve"> 151 bp)</w:t>
      </w:r>
      <w:r w:rsidR="00003E40" w:rsidRPr="00B67949">
        <w:rPr>
          <w:rFonts w:cs="Arial"/>
          <w:szCs w:val="24"/>
          <w:lang w:val="en-GB"/>
        </w:rPr>
        <w:t>,</w:t>
      </w:r>
      <w:r w:rsidR="00753043" w:rsidRPr="00B67949">
        <w:rPr>
          <w:rFonts w:cs="Arial"/>
          <w:szCs w:val="24"/>
          <w:lang w:val="en-GB"/>
        </w:rPr>
        <w:t xml:space="preserve"> and heterozygous </w:t>
      </w:r>
      <w:r w:rsidR="00003E40" w:rsidRPr="00B67949">
        <w:rPr>
          <w:rFonts w:cs="Arial"/>
          <w:szCs w:val="24"/>
          <w:lang w:val="en-GB"/>
        </w:rPr>
        <w:t>GHR</w:t>
      </w:r>
      <w:r w:rsidR="00003E40" w:rsidRPr="00B67949">
        <w:rPr>
          <w:rFonts w:cs="Arial"/>
          <w:szCs w:val="24"/>
          <w:vertAlign w:val="superscript"/>
          <w:lang w:val="en-GB"/>
        </w:rPr>
        <w:t>GA</w:t>
      </w:r>
      <w:r w:rsidR="00753043" w:rsidRPr="00B67949">
        <w:rPr>
          <w:rFonts w:cs="Arial"/>
          <w:szCs w:val="24"/>
          <w:lang w:val="en-GB"/>
        </w:rPr>
        <w:t xml:space="preserve"> genotype by </w:t>
      </w:r>
      <w:r w:rsidR="000929A7" w:rsidRPr="00B67949">
        <w:rPr>
          <w:rFonts w:cs="Arial"/>
          <w:szCs w:val="24"/>
          <w:lang w:val="en-GB"/>
        </w:rPr>
        <w:t>four</w:t>
      </w:r>
      <w:r w:rsidR="00753043" w:rsidRPr="00B67949">
        <w:rPr>
          <w:rFonts w:cs="Arial"/>
          <w:szCs w:val="24"/>
          <w:lang w:val="en-GB"/>
        </w:rPr>
        <w:t xml:space="preserve"> fragments (191 bp</w:t>
      </w:r>
      <w:r w:rsidR="000B0C59" w:rsidRPr="00B67949">
        <w:rPr>
          <w:rFonts w:cs="Arial"/>
          <w:szCs w:val="24"/>
          <w:lang w:val="en-GB"/>
        </w:rPr>
        <w:t>,</w:t>
      </w:r>
      <w:r w:rsidR="00753043" w:rsidRPr="00B67949">
        <w:rPr>
          <w:rFonts w:cs="Arial"/>
          <w:szCs w:val="24"/>
          <w:lang w:val="en-GB"/>
        </w:rPr>
        <w:t xml:space="preserve"> 151 bp</w:t>
      </w:r>
      <w:r w:rsidR="000B0C59" w:rsidRPr="00B67949">
        <w:rPr>
          <w:rFonts w:cs="Arial"/>
          <w:szCs w:val="24"/>
          <w:lang w:val="en-GB"/>
        </w:rPr>
        <w:t>,</w:t>
      </w:r>
      <w:r w:rsidR="00753043" w:rsidRPr="00B67949">
        <w:rPr>
          <w:rFonts w:cs="Arial"/>
          <w:szCs w:val="24"/>
          <w:lang w:val="en-GB"/>
        </w:rPr>
        <w:t xml:space="preserve"> 101 bp</w:t>
      </w:r>
      <w:r w:rsidR="000B0C59" w:rsidRPr="00B67949">
        <w:rPr>
          <w:rFonts w:cs="Arial"/>
          <w:szCs w:val="24"/>
          <w:lang w:val="en-GB"/>
        </w:rPr>
        <w:t>,</w:t>
      </w:r>
      <w:r w:rsidR="00753043" w:rsidRPr="00B67949">
        <w:rPr>
          <w:rFonts w:cs="Arial"/>
          <w:szCs w:val="24"/>
          <w:lang w:val="en-GB"/>
        </w:rPr>
        <w:t xml:space="preserve"> 50 bp). </w:t>
      </w:r>
      <w:r w:rsidR="000929A7" w:rsidRPr="00B67949">
        <w:rPr>
          <w:rFonts w:cs="Arial"/>
          <w:szCs w:val="24"/>
          <w:lang w:val="en-GB"/>
        </w:rPr>
        <w:t xml:space="preserve">Results of </w:t>
      </w:r>
      <w:proofErr w:type="spellStart"/>
      <w:r w:rsidR="000929A7" w:rsidRPr="00B67949">
        <w:rPr>
          <w:rFonts w:cs="Arial"/>
          <w:szCs w:val="24"/>
          <w:lang w:val="en-GB"/>
        </w:rPr>
        <w:t>genotipisation</w:t>
      </w:r>
      <w:proofErr w:type="spellEnd"/>
      <w:r w:rsidR="000929A7" w:rsidRPr="00B67949">
        <w:rPr>
          <w:rFonts w:cs="Arial"/>
          <w:szCs w:val="24"/>
          <w:lang w:val="en-GB"/>
        </w:rPr>
        <w:t xml:space="preserve"> </w:t>
      </w:r>
      <w:r w:rsidR="00003E40" w:rsidRPr="00B67949">
        <w:rPr>
          <w:szCs w:val="24"/>
          <w:lang w:val="en-GB"/>
        </w:rPr>
        <w:t>of the GHR gene</w:t>
      </w:r>
      <w:r w:rsidR="00003E40" w:rsidRPr="00B67949">
        <w:rPr>
          <w:rFonts w:cs="Arial"/>
          <w:szCs w:val="24"/>
          <w:lang w:val="en-GB"/>
        </w:rPr>
        <w:t xml:space="preserve"> </w:t>
      </w:r>
      <w:r w:rsidR="000929A7" w:rsidRPr="00B67949">
        <w:rPr>
          <w:rFonts w:cs="Arial"/>
          <w:szCs w:val="24"/>
          <w:lang w:val="en-GB"/>
        </w:rPr>
        <w:t xml:space="preserve">are presented in </w:t>
      </w:r>
      <w:r w:rsidR="000B0C59" w:rsidRPr="00B67949">
        <w:rPr>
          <w:rFonts w:cs="Arial"/>
          <w:szCs w:val="24"/>
          <w:lang w:val="en-GB"/>
        </w:rPr>
        <w:t>T</w:t>
      </w:r>
      <w:r w:rsidR="000929A7" w:rsidRPr="00B67949">
        <w:rPr>
          <w:rFonts w:cs="Arial"/>
          <w:szCs w:val="24"/>
          <w:lang w:val="en-GB"/>
        </w:rPr>
        <w:t xml:space="preserve">able </w:t>
      </w:r>
      <w:r w:rsidR="00851EB8" w:rsidRPr="00B67949">
        <w:rPr>
          <w:rFonts w:cs="Arial"/>
          <w:szCs w:val="24"/>
          <w:lang w:val="en-GB"/>
        </w:rPr>
        <w:t>2</w:t>
      </w:r>
      <w:r w:rsidR="000929A7" w:rsidRPr="00B67949">
        <w:rPr>
          <w:rFonts w:cs="Arial"/>
          <w:szCs w:val="24"/>
          <w:lang w:val="en-GB"/>
        </w:rPr>
        <w:t xml:space="preserve">. </w:t>
      </w:r>
    </w:p>
    <w:p w14:paraId="28AAAF3B" w14:textId="77777777" w:rsidR="003A31D8" w:rsidRPr="00B67949" w:rsidRDefault="003A31D8" w:rsidP="00581465">
      <w:pPr>
        <w:rPr>
          <w:szCs w:val="24"/>
          <w:lang w:val="en-GB"/>
        </w:rPr>
      </w:pPr>
    </w:p>
    <w:p w14:paraId="371143C0" w14:textId="22B93A9A" w:rsidR="00DF7CF5" w:rsidRPr="00B67949" w:rsidRDefault="00DF7CF5" w:rsidP="00581465">
      <w:pPr>
        <w:rPr>
          <w:szCs w:val="24"/>
          <w:lang w:val="en-GB"/>
        </w:rPr>
      </w:pPr>
      <w:r w:rsidRPr="00B67949">
        <w:rPr>
          <w:szCs w:val="24"/>
          <w:lang w:val="en-GB"/>
        </w:rPr>
        <w:t>Ta</w:t>
      </w:r>
      <w:r w:rsidR="00363269" w:rsidRPr="00B67949">
        <w:rPr>
          <w:szCs w:val="24"/>
          <w:lang w:val="en-GB"/>
        </w:rPr>
        <w:t xml:space="preserve">ble </w:t>
      </w:r>
      <w:r w:rsidR="00851EB8" w:rsidRPr="00B67949">
        <w:rPr>
          <w:szCs w:val="24"/>
          <w:lang w:val="en-GB"/>
        </w:rPr>
        <w:t>2</w:t>
      </w:r>
      <w:r w:rsidR="00363269" w:rsidRPr="00B67949">
        <w:rPr>
          <w:szCs w:val="24"/>
          <w:lang w:val="en-GB"/>
        </w:rPr>
        <w:t xml:space="preserve"> Frequency of genotypes and allele variants of the GHR gene</w:t>
      </w:r>
      <w:r w:rsidR="000B0C59" w:rsidRPr="00B67949">
        <w:rPr>
          <w:szCs w:val="24"/>
          <w:lang w:val="en-GB"/>
        </w:rPr>
        <w:t>,</w:t>
      </w:r>
      <w:r w:rsidR="00363269" w:rsidRPr="00B67949">
        <w:rPr>
          <w:szCs w:val="24"/>
          <w:lang w:val="en-GB"/>
        </w:rPr>
        <w:t xml:space="preserve"> observed and expected heterozygosity in the studied population of </w:t>
      </w:r>
      <w:r w:rsidR="0064434E" w:rsidRPr="00B67949">
        <w:rPr>
          <w:szCs w:val="24"/>
          <w:lang w:val="en-GB"/>
        </w:rPr>
        <w:t>heifers</w:t>
      </w:r>
    </w:p>
    <w:tbl>
      <w:tblPr>
        <w:tblStyle w:val="Reetkatablic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1297"/>
        <w:gridCol w:w="1325"/>
        <w:gridCol w:w="756"/>
        <w:gridCol w:w="1019"/>
        <w:gridCol w:w="942"/>
        <w:gridCol w:w="1355"/>
        <w:gridCol w:w="1068"/>
      </w:tblGrid>
      <w:tr w:rsidR="008B7F73" w:rsidRPr="00B67949" w14:paraId="45F89844" w14:textId="77777777" w:rsidTr="00CC390F">
        <w:tc>
          <w:tcPr>
            <w:tcW w:w="0" w:type="auto"/>
            <w:tcBorders>
              <w:top w:val="single" w:sz="4" w:space="0" w:color="auto"/>
              <w:bottom w:val="single" w:sz="4" w:space="0" w:color="auto"/>
            </w:tcBorders>
            <w:vAlign w:val="center"/>
          </w:tcPr>
          <w:p w14:paraId="2C60E402" w14:textId="77777777" w:rsidR="008B7F73" w:rsidRPr="00B67949" w:rsidRDefault="008B7F73" w:rsidP="00B63786">
            <w:pPr>
              <w:jc w:val="center"/>
              <w:rPr>
                <w:szCs w:val="24"/>
                <w:lang w:val="en-GB"/>
              </w:rPr>
            </w:pPr>
            <w:r w:rsidRPr="00B67949">
              <w:rPr>
                <w:szCs w:val="24"/>
                <w:lang w:val="en-GB"/>
              </w:rPr>
              <w:t>Genotype</w:t>
            </w:r>
          </w:p>
        </w:tc>
        <w:tc>
          <w:tcPr>
            <w:tcW w:w="0" w:type="auto"/>
            <w:tcBorders>
              <w:top w:val="single" w:sz="4" w:space="0" w:color="auto"/>
              <w:bottom w:val="single" w:sz="4" w:space="0" w:color="auto"/>
            </w:tcBorders>
            <w:vAlign w:val="center"/>
          </w:tcPr>
          <w:p w14:paraId="1C17F09A" w14:textId="6CED0624" w:rsidR="008B7F73" w:rsidRPr="00B67949" w:rsidRDefault="008B7F73" w:rsidP="00003E40">
            <w:pPr>
              <w:jc w:val="center"/>
              <w:rPr>
                <w:szCs w:val="24"/>
                <w:lang w:val="en-GB"/>
              </w:rPr>
            </w:pPr>
            <w:r w:rsidRPr="00B67949">
              <w:rPr>
                <w:szCs w:val="24"/>
                <w:lang w:val="en-GB"/>
              </w:rPr>
              <w:t xml:space="preserve">No. </w:t>
            </w:r>
            <w:r w:rsidR="00003E40" w:rsidRPr="00B67949">
              <w:rPr>
                <w:szCs w:val="24"/>
                <w:lang w:val="en-GB"/>
              </w:rPr>
              <w:t>o</w:t>
            </w:r>
            <w:r w:rsidRPr="00B67949">
              <w:rPr>
                <w:szCs w:val="24"/>
                <w:lang w:val="en-GB"/>
              </w:rPr>
              <w:t>bserved genotype</w:t>
            </w:r>
          </w:p>
        </w:tc>
        <w:tc>
          <w:tcPr>
            <w:tcW w:w="0" w:type="auto"/>
            <w:tcBorders>
              <w:top w:val="single" w:sz="4" w:space="0" w:color="auto"/>
              <w:bottom w:val="single" w:sz="4" w:space="0" w:color="auto"/>
            </w:tcBorders>
            <w:vAlign w:val="center"/>
          </w:tcPr>
          <w:p w14:paraId="5D760F8C" w14:textId="77777777" w:rsidR="008B7F73" w:rsidRPr="00B67949" w:rsidRDefault="008B7F73" w:rsidP="00B63786">
            <w:pPr>
              <w:jc w:val="center"/>
              <w:rPr>
                <w:szCs w:val="24"/>
                <w:lang w:val="en-GB"/>
              </w:rPr>
            </w:pPr>
            <w:r w:rsidRPr="00B67949">
              <w:rPr>
                <w:szCs w:val="24"/>
                <w:lang w:val="en-GB"/>
              </w:rPr>
              <w:t>Genotype frequency</w:t>
            </w:r>
          </w:p>
        </w:tc>
        <w:tc>
          <w:tcPr>
            <w:tcW w:w="0" w:type="auto"/>
            <w:tcBorders>
              <w:top w:val="single" w:sz="4" w:space="0" w:color="auto"/>
              <w:bottom w:val="single" w:sz="4" w:space="0" w:color="auto"/>
            </w:tcBorders>
            <w:vAlign w:val="center"/>
          </w:tcPr>
          <w:p w14:paraId="153F5244" w14:textId="77777777" w:rsidR="008B7F73" w:rsidRPr="00B67949" w:rsidRDefault="00CC390F" w:rsidP="00CC390F">
            <w:pPr>
              <w:jc w:val="center"/>
              <w:rPr>
                <w:szCs w:val="24"/>
                <w:lang w:val="en-GB"/>
              </w:rPr>
            </w:pPr>
            <w:r w:rsidRPr="00B67949">
              <w:rPr>
                <w:szCs w:val="24"/>
                <w:lang w:val="en-GB"/>
              </w:rPr>
              <w:t>Ho</w:t>
            </w:r>
          </w:p>
          <w:p w14:paraId="3943BD77" w14:textId="77777777" w:rsidR="00CC390F" w:rsidRPr="00B67949" w:rsidRDefault="00CC390F" w:rsidP="00CC390F">
            <w:pPr>
              <w:jc w:val="center"/>
              <w:rPr>
                <w:szCs w:val="24"/>
                <w:lang w:val="en-GB"/>
              </w:rPr>
            </w:pPr>
            <w:r w:rsidRPr="00B67949">
              <w:rPr>
                <w:szCs w:val="24"/>
                <w:lang w:val="en-GB"/>
              </w:rPr>
              <w:t>He</w:t>
            </w:r>
          </w:p>
        </w:tc>
        <w:tc>
          <w:tcPr>
            <w:tcW w:w="0" w:type="auto"/>
            <w:tcBorders>
              <w:top w:val="single" w:sz="4" w:space="0" w:color="auto"/>
              <w:bottom w:val="single" w:sz="4" w:space="0" w:color="auto"/>
            </w:tcBorders>
            <w:vAlign w:val="center"/>
          </w:tcPr>
          <w:p w14:paraId="76C851FF" w14:textId="77777777" w:rsidR="008B7F73" w:rsidRPr="00B67949" w:rsidRDefault="0036410F" w:rsidP="00B63786">
            <w:pPr>
              <w:jc w:val="center"/>
              <w:rPr>
                <w:i/>
                <w:szCs w:val="24"/>
                <w:lang w:val="en-GB"/>
              </w:rPr>
            </w:pPr>
            <w:r w:rsidRPr="00B67949">
              <w:rPr>
                <w:i/>
                <w:szCs w:val="24"/>
                <w:lang w:val="en-GB"/>
              </w:rPr>
              <w:t>χ</w:t>
            </w:r>
            <w:r w:rsidR="008B7F73" w:rsidRPr="00B67949">
              <w:rPr>
                <w:i/>
                <w:szCs w:val="24"/>
                <w:vertAlign w:val="superscript"/>
                <w:lang w:val="en-GB"/>
              </w:rPr>
              <w:t>2</w:t>
            </w:r>
          </w:p>
        </w:tc>
        <w:tc>
          <w:tcPr>
            <w:tcW w:w="0" w:type="auto"/>
            <w:tcBorders>
              <w:top w:val="single" w:sz="4" w:space="0" w:color="auto"/>
              <w:bottom w:val="single" w:sz="4" w:space="0" w:color="auto"/>
            </w:tcBorders>
            <w:vAlign w:val="center"/>
          </w:tcPr>
          <w:p w14:paraId="7DFEA6AF" w14:textId="77777777" w:rsidR="008B7F73" w:rsidRPr="00B67949" w:rsidRDefault="008B7F73" w:rsidP="00B63786">
            <w:pPr>
              <w:jc w:val="center"/>
              <w:rPr>
                <w:szCs w:val="24"/>
                <w:lang w:val="en-GB"/>
              </w:rPr>
            </w:pPr>
            <w:r w:rsidRPr="00B67949">
              <w:rPr>
                <w:szCs w:val="24"/>
                <w:lang w:val="en-GB"/>
              </w:rPr>
              <w:t>Allele</w:t>
            </w:r>
          </w:p>
        </w:tc>
        <w:tc>
          <w:tcPr>
            <w:tcW w:w="0" w:type="auto"/>
            <w:tcBorders>
              <w:top w:val="single" w:sz="4" w:space="0" w:color="auto"/>
              <w:bottom w:val="single" w:sz="4" w:space="0" w:color="auto"/>
            </w:tcBorders>
            <w:vAlign w:val="center"/>
          </w:tcPr>
          <w:p w14:paraId="2D4D7BF0" w14:textId="77777777" w:rsidR="008B7F73" w:rsidRPr="00B67949" w:rsidRDefault="00D64842" w:rsidP="00B63786">
            <w:pPr>
              <w:jc w:val="center"/>
              <w:rPr>
                <w:szCs w:val="24"/>
                <w:lang w:val="en-GB"/>
              </w:rPr>
            </w:pPr>
            <w:r w:rsidRPr="00B67949">
              <w:rPr>
                <w:szCs w:val="24"/>
                <w:lang w:val="en-GB"/>
              </w:rPr>
              <w:t>Frequency</w:t>
            </w:r>
            <w:r w:rsidR="008B7F73" w:rsidRPr="00B67949">
              <w:rPr>
                <w:szCs w:val="24"/>
                <w:lang w:val="en-GB"/>
              </w:rPr>
              <w:t xml:space="preserve"> of allele</w:t>
            </w:r>
          </w:p>
        </w:tc>
        <w:tc>
          <w:tcPr>
            <w:tcW w:w="0" w:type="auto"/>
            <w:tcBorders>
              <w:top w:val="single" w:sz="4" w:space="0" w:color="auto"/>
              <w:bottom w:val="single" w:sz="4" w:space="0" w:color="auto"/>
            </w:tcBorders>
            <w:vAlign w:val="center"/>
          </w:tcPr>
          <w:p w14:paraId="1098837A" w14:textId="74BC0D1F" w:rsidR="008B7F73" w:rsidRPr="00B67949" w:rsidRDefault="00003E40" w:rsidP="00003E40">
            <w:pPr>
              <w:jc w:val="center"/>
              <w:rPr>
                <w:i/>
                <w:szCs w:val="24"/>
                <w:lang w:val="en-GB"/>
              </w:rPr>
            </w:pPr>
            <w:r w:rsidRPr="00B67949">
              <w:rPr>
                <w:i/>
                <w:szCs w:val="24"/>
                <w:lang w:val="en-GB"/>
              </w:rPr>
              <w:t>S</w:t>
            </w:r>
            <w:r w:rsidR="008B7F73" w:rsidRPr="00B67949">
              <w:rPr>
                <w:i/>
                <w:szCs w:val="24"/>
                <w:lang w:val="en-GB"/>
              </w:rPr>
              <w:t>.</w:t>
            </w:r>
            <w:r w:rsidRPr="00B67949">
              <w:rPr>
                <w:i/>
                <w:szCs w:val="24"/>
                <w:lang w:val="en-GB"/>
              </w:rPr>
              <w:t>D</w:t>
            </w:r>
            <w:r w:rsidR="00D64842" w:rsidRPr="00B67949">
              <w:rPr>
                <w:i/>
                <w:szCs w:val="24"/>
                <w:lang w:val="en-GB"/>
              </w:rPr>
              <w:t>.</w:t>
            </w:r>
          </w:p>
        </w:tc>
      </w:tr>
      <w:tr w:rsidR="008B7F73" w:rsidRPr="00B67949" w14:paraId="2107D2F0" w14:textId="77777777" w:rsidTr="00CC390F">
        <w:tc>
          <w:tcPr>
            <w:tcW w:w="0" w:type="auto"/>
            <w:tcBorders>
              <w:top w:val="single" w:sz="4" w:space="0" w:color="auto"/>
            </w:tcBorders>
            <w:vAlign w:val="center"/>
          </w:tcPr>
          <w:p w14:paraId="6CF64457" w14:textId="535DB286" w:rsidR="008B7F73" w:rsidRPr="00B67949" w:rsidRDefault="00003E40" w:rsidP="00711A11">
            <w:pPr>
              <w:jc w:val="center"/>
              <w:rPr>
                <w:szCs w:val="24"/>
                <w:lang w:val="en-GB"/>
              </w:rPr>
            </w:pPr>
            <w:r w:rsidRPr="00B67949">
              <w:rPr>
                <w:rFonts w:cs="Arial"/>
                <w:szCs w:val="24"/>
                <w:lang w:val="en-GB"/>
              </w:rPr>
              <w:t>GHR</w:t>
            </w:r>
            <w:r w:rsidRPr="00B67949">
              <w:rPr>
                <w:rFonts w:cs="Arial"/>
                <w:szCs w:val="24"/>
                <w:vertAlign w:val="superscript"/>
                <w:lang w:val="en-GB"/>
              </w:rPr>
              <w:t>AA</w:t>
            </w:r>
          </w:p>
          <w:p w14:paraId="659E5889" w14:textId="4B3AC53F" w:rsidR="008B7F73" w:rsidRPr="00B67949" w:rsidRDefault="00003E40" w:rsidP="00003E40">
            <w:pPr>
              <w:jc w:val="center"/>
              <w:rPr>
                <w:szCs w:val="24"/>
                <w:lang w:val="en-GB"/>
              </w:rPr>
            </w:pPr>
            <w:r w:rsidRPr="00B67949">
              <w:rPr>
                <w:rFonts w:cs="Arial"/>
                <w:szCs w:val="24"/>
                <w:lang w:val="en-GB"/>
              </w:rPr>
              <w:t>GHR</w:t>
            </w:r>
            <w:r w:rsidRPr="00B67949">
              <w:rPr>
                <w:rFonts w:cs="Arial"/>
                <w:szCs w:val="24"/>
                <w:vertAlign w:val="superscript"/>
                <w:lang w:val="en-GB"/>
              </w:rPr>
              <w:t>GA</w:t>
            </w:r>
            <w:r w:rsidRPr="00B67949">
              <w:rPr>
                <w:szCs w:val="24"/>
                <w:lang w:val="en-GB"/>
              </w:rPr>
              <w:t xml:space="preserve"> </w:t>
            </w:r>
            <w:r w:rsidRPr="00B67949">
              <w:rPr>
                <w:rFonts w:cs="Arial"/>
                <w:szCs w:val="24"/>
                <w:lang w:val="en-GB"/>
              </w:rPr>
              <w:t>GHR</w:t>
            </w:r>
            <w:r w:rsidRPr="00B67949">
              <w:rPr>
                <w:rFonts w:cs="Arial"/>
                <w:szCs w:val="24"/>
                <w:vertAlign w:val="superscript"/>
                <w:lang w:val="en-GB"/>
              </w:rPr>
              <w:t>GG</w:t>
            </w:r>
          </w:p>
        </w:tc>
        <w:tc>
          <w:tcPr>
            <w:tcW w:w="0" w:type="auto"/>
            <w:tcBorders>
              <w:top w:val="single" w:sz="4" w:space="0" w:color="auto"/>
            </w:tcBorders>
            <w:vAlign w:val="center"/>
          </w:tcPr>
          <w:p w14:paraId="06B764ED" w14:textId="77777777" w:rsidR="008B7F73" w:rsidRPr="00B67949" w:rsidRDefault="008B7F73" w:rsidP="00711A11">
            <w:pPr>
              <w:jc w:val="center"/>
              <w:rPr>
                <w:szCs w:val="24"/>
                <w:lang w:val="en-GB"/>
              </w:rPr>
            </w:pPr>
            <w:r w:rsidRPr="00B67949">
              <w:rPr>
                <w:szCs w:val="24"/>
                <w:lang w:val="en-GB"/>
              </w:rPr>
              <w:t>22</w:t>
            </w:r>
          </w:p>
          <w:p w14:paraId="44A793D1" w14:textId="77777777" w:rsidR="008B7F73" w:rsidRPr="00B67949" w:rsidRDefault="008B7F73" w:rsidP="00711A11">
            <w:pPr>
              <w:jc w:val="center"/>
              <w:rPr>
                <w:szCs w:val="24"/>
                <w:lang w:val="en-GB"/>
              </w:rPr>
            </w:pPr>
            <w:r w:rsidRPr="00B67949">
              <w:rPr>
                <w:szCs w:val="24"/>
                <w:lang w:val="en-GB"/>
              </w:rPr>
              <w:t>20</w:t>
            </w:r>
          </w:p>
          <w:p w14:paraId="6BDE89D9" w14:textId="77777777" w:rsidR="008B7F73" w:rsidRPr="00B67949" w:rsidRDefault="008B7F73" w:rsidP="00711A11">
            <w:pPr>
              <w:jc w:val="center"/>
              <w:rPr>
                <w:szCs w:val="24"/>
                <w:lang w:val="en-GB"/>
              </w:rPr>
            </w:pPr>
            <w:r w:rsidRPr="00B67949">
              <w:rPr>
                <w:szCs w:val="24"/>
                <w:lang w:val="en-GB"/>
              </w:rPr>
              <w:t>5</w:t>
            </w:r>
          </w:p>
        </w:tc>
        <w:tc>
          <w:tcPr>
            <w:tcW w:w="0" w:type="auto"/>
            <w:tcBorders>
              <w:top w:val="single" w:sz="4" w:space="0" w:color="auto"/>
            </w:tcBorders>
            <w:vAlign w:val="center"/>
          </w:tcPr>
          <w:p w14:paraId="535B2A44" w14:textId="77777777" w:rsidR="008B7F73" w:rsidRPr="00B67949" w:rsidRDefault="008B7F73" w:rsidP="00711A11">
            <w:pPr>
              <w:jc w:val="center"/>
              <w:rPr>
                <w:szCs w:val="24"/>
                <w:lang w:val="en-GB"/>
              </w:rPr>
            </w:pPr>
            <w:r w:rsidRPr="00B67949">
              <w:rPr>
                <w:szCs w:val="24"/>
                <w:lang w:val="en-GB"/>
              </w:rPr>
              <w:t>0</w:t>
            </w:r>
            <w:r w:rsidR="00AB7182" w:rsidRPr="00B67949">
              <w:rPr>
                <w:szCs w:val="24"/>
                <w:lang w:val="en-GB"/>
              </w:rPr>
              <w:t>.</w:t>
            </w:r>
            <w:r w:rsidRPr="00B67949">
              <w:rPr>
                <w:szCs w:val="24"/>
                <w:lang w:val="en-GB"/>
              </w:rPr>
              <w:t>468</w:t>
            </w:r>
          </w:p>
          <w:p w14:paraId="6B7143D9" w14:textId="77777777" w:rsidR="008B7F73" w:rsidRPr="00B67949" w:rsidRDefault="008B7F73" w:rsidP="00711A11">
            <w:pPr>
              <w:jc w:val="center"/>
              <w:rPr>
                <w:szCs w:val="24"/>
                <w:lang w:val="en-GB"/>
              </w:rPr>
            </w:pPr>
            <w:r w:rsidRPr="00B67949">
              <w:rPr>
                <w:szCs w:val="24"/>
                <w:lang w:val="en-GB"/>
              </w:rPr>
              <w:t>0</w:t>
            </w:r>
            <w:r w:rsidR="00AB7182" w:rsidRPr="00B67949">
              <w:rPr>
                <w:szCs w:val="24"/>
                <w:lang w:val="en-GB"/>
              </w:rPr>
              <w:t>.</w:t>
            </w:r>
            <w:r w:rsidRPr="00B67949">
              <w:rPr>
                <w:szCs w:val="24"/>
                <w:lang w:val="en-GB"/>
              </w:rPr>
              <w:t>426</w:t>
            </w:r>
          </w:p>
          <w:p w14:paraId="7344D12B" w14:textId="77777777" w:rsidR="008B7F73" w:rsidRPr="00B67949" w:rsidRDefault="008B7F73" w:rsidP="00AB7182">
            <w:pPr>
              <w:jc w:val="center"/>
              <w:rPr>
                <w:szCs w:val="24"/>
                <w:lang w:val="en-GB"/>
              </w:rPr>
            </w:pPr>
            <w:r w:rsidRPr="00B67949">
              <w:rPr>
                <w:szCs w:val="24"/>
                <w:lang w:val="en-GB"/>
              </w:rPr>
              <w:t>0</w:t>
            </w:r>
            <w:r w:rsidR="00AB7182" w:rsidRPr="00B67949">
              <w:rPr>
                <w:szCs w:val="24"/>
                <w:lang w:val="en-GB"/>
              </w:rPr>
              <w:t>.</w:t>
            </w:r>
            <w:r w:rsidRPr="00B67949">
              <w:rPr>
                <w:szCs w:val="24"/>
                <w:lang w:val="en-GB"/>
              </w:rPr>
              <w:t>106</w:t>
            </w:r>
          </w:p>
        </w:tc>
        <w:tc>
          <w:tcPr>
            <w:tcW w:w="0" w:type="auto"/>
            <w:tcBorders>
              <w:top w:val="single" w:sz="4" w:space="0" w:color="auto"/>
            </w:tcBorders>
            <w:vAlign w:val="center"/>
          </w:tcPr>
          <w:p w14:paraId="321949D8" w14:textId="77777777" w:rsidR="008B7F73" w:rsidRPr="00B67949" w:rsidRDefault="00CC390F" w:rsidP="00CC390F">
            <w:pPr>
              <w:jc w:val="center"/>
              <w:rPr>
                <w:szCs w:val="24"/>
                <w:lang w:val="en-GB"/>
              </w:rPr>
            </w:pPr>
            <w:r w:rsidRPr="00B67949">
              <w:rPr>
                <w:szCs w:val="24"/>
                <w:lang w:val="en-GB"/>
              </w:rPr>
              <w:t>0</w:t>
            </w:r>
            <w:r w:rsidR="00AB7182" w:rsidRPr="00B67949">
              <w:rPr>
                <w:szCs w:val="24"/>
                <w:lang w:val="en-GB"/>
              </w:rPr>
              <w:t>.</w:t>
            </w:r>
            <w:r w:rsidRPr="00B67949">
              <w:rPr>
                <w:szCs w:val="24"/>
                <w:lang w:val="en-GB"/>
              </w:rPr>
              <w:t>426</w:t>
            </w:r>
          </w:p>
          <w:p w14:paraId="0F32BA9D" w14:textId="77777777" w:rsidR="00CC390F" w:rsidRPr="00B67949" w:rsidRDefault="00CC390F" w:rsidP="00AB7182">
            <w:pPr>
              <w:jc w:val="center"/>
              <w:rPr>
                <w:szCs w:val="24"/>
                <w:lang w:val="en-GB"/>
              </w:rPr>
            </w:pPr>
            <w:r w:rsidRPr="00B67949">
              <w:rPr>
                <w:szCs w:val="24"/>
                <w:lang w:val="en-GB"/>
              </w:rPr>
              <w:t>0</w:t>
            </w:r>
            <w:r w:rsidR="00AB7182" w:rsidRPr="00B67949">
              <w:rPr>
                <w:szCs w:val="24"/>
                <w:lang w:val="en-GB"/>
              </w:rPr>
              <w:t>.</w:t>
            </w:r>
            <w:r w:rsidRPr="00B67949">
              <w:rPr>
                <w:szCs w:val="24"/>
                <w:lang w:val="en-GB"/>
              </w:rPr>
              <w:t>434</w:t>
            </w:r>
          </w:p>
        </w:tc>
        <w:tc>
          <w:tcPr>
            <w:tcW w:w="0" w:type="auto"/>
            <w:tcBorders>
              <w:top w:val="single" w:sz="4" w:space="0" w:color="auto"/>
            </w:tcBorders>
            <w:vAlign w:val="center"/>
          </w:tcPr>
          <w:p w14:paraId="282DD607" w14:textId="57E171BE" w:rsidR="008B7F73" w:rsidRPr="00B67949" w:rsidRDefault="008B7F73" w:rsidP="00AB7182">
            <w:pPr>
              <w:jc w:val="center"/>
              <w:rPr>
                <w:szCs w:val="24"/>
                <w:lang w:val="en-GB"/>
              </w:rPr>
            </w:pPr>
            <w:r w:rsidRPr="00B67949">
              <w:rPr>
                <w:szCs w:val="24"/>
                <w:lang w:val="en-GB"/>
              </w:rPr>
              <w:t>0</w:t>
            </w:r>
            <w:r w:rsidR="00AB7182" w:rsidRPr="00B67949">
              <w:rPr>
                <w:szCs w:val="24"/>
                <w:lang w:val="en-GB"/>
              </w:rPr>
              <w:t>.</w:t>
            </w:r>
            <w:r w:rsidRPr="00B67949">
              <w:rPr>
                <w:szCs w:val="24"/>
                <w:lang w:val="en-GB"/>
              </w:rPr>
              <w:t>0204</w:t>
            </w:r>
            <w:r w:rsidR="004B2D5C" w:rsidRPr="004B2D5C">
              <w:rPr>
                <w:szCs w:val="24"/>
                <w:vertAlign w:val="superscript"/>
                <w:lang w:val="en-GB"/>
              </w:rPr>
              <w:t>ns</w:t>
            </w:r>
          </w:p>
        </w:tc>
        <w:tc>
          <w:tcPr>
            <w:tcW w:w="0" w:type="auto"/>
            <w:tcBorders>
              <w:top w:val="single" w:sz="4" w:space="0" w:color="auto"/>
            </w:tcBorders>
            <w:vAlign w:val="center"/>
          </w:tcPr>
          <w:p w14:paraId="0B725ED9" w14:textId="7EB47E66" w:rsidR="008B7F73" w:rsidRPr="00B67949" w:rsidRDefault="00003E40" w:rsidP="00003E40">
            <w:pPr>
              <w:jc w:val="center"/>
              <w:rPr>
                <w:szCs w:val="24"/>
                <w:lang w:val="en-GB"/>
              </w:rPr>
            </w:pPr>
            <w:r w:rsidRPr="00B67949">
              <w:rPr>
                <w:rFonts w:cs="Arial"/>
                <w:szCs w:val="24"/>
                <w:lang w:val="en-GB"/>
              </w:rPr>
              <w:t>GHR</w:t>
            </w:r>
            <w:r w:rsidRPr="00B67949">
              <w:rPr>
                <w:rFonts w:cs="Arial"/>
                <w:szCs w:val="24"/>
                <w:vertAlign w:val="superscript"/>
                <w:lang w:val="en-GB"/>
              </w:rPr>
              <w:t>A</w:t>
            </w:r>
            <w:r w:rsidRPr="00B67949">
              <w:rPr>
                <w:szCs w:val="24"/>
                <w:lang w:val="en-GB"/>
              </w:rPr>
              <w:t xml:space="preserve"> </w:t>
            </w:r>
            <w:r w:rsidRPr="00B67949">
              <w:rPr>
                <w:rFonts w:cs="Arial"/>
                <w:szCs w:val="24"/>
                <w:lang w:val="en-GB"/>
              </w:rPr>
              <w:t>GHR</w:t>
            </w:r>
            <w:r w:rsidRPr="00B67949">
              <w:rPr>
                <w:rFonts w:cs="Arial"/>
                <w:szCs w:val="24"/>
                <w:vertAlign w:val="superscript"/>
                <w:lang w:val="en-GB"/>
              </w:rPr>
              <w:t>G</w:t>
            </w:r>
          </w:p>
        </w:tc>
        <w:tc>
          <w:tcPr>
            <w:tcW w:w="0" w:type="auto"/>
            <w:tcBorders>
              <w:top w:val="single" w:sz="4" w:space="0" w:color="auto"/>
            </w:tcBorders>
            <w:vAlign w:val="center"/>
          </w:tcPr>
          <w:p w14:paraId="3DAD5BE9" w14:textId="77777777" w:rsidR="008B7F73" w:rsidRPr="00B67949" w:rsidRDefault="008B7F73" w:rsidP="00711A11">
            <w:pPr>
              <w:jc w:val="center"/>
              <w:rPr>
                <w:szCs w:val="24"/>
                <w:lang w:val="en-GB"/>
              </w:rPr>
            </w:pPr>
            <w:r w:rsidRPr="00B67949">
              <w:rPr>
                <w:szCs w:val="24"/>
                <w:lang w:val="en-GB"/>
              </w:rPr>
              <w:t>0</w:t>
            </w:r>
            <w:r w:rsidR="00AB7182" w:rsidRPr="00B67949">
              <w:rPr>
                <w:szCs w:val="24"/>
                <w:lang w:val="en-GB"/>
              </w:rPr>
              <w:t>.</w:t>
            </w:r>
            <w:r w:rsidRPr="00B67949">
              <w:rPr>
                <w:szCs w:val="24"/>
                <w:lang w:val="en-GB"/>
              </w:rPr>
              <w:t>681</w:t>
            </w:r>
          </w:p>
          <w:p w14:paraId="3EABDE03" w14:textId="77777777" w:rsidR="008B7F73" w:rsidRPr="00B67949" w:rsidRDefault="008B7F73" w:rsidP="00AB7182">
            <w:pPr>
              <w:jc w:val="center"/>
              <w:rPr>
                <w:szCs w:val="24"/>
                <w:lang w:val="en-GB"/>
              </w:rPr>
            </w:pPr>
            <w:r w:rsidRPr="00B67949">
              <w:rPr>
                <w:szCs w:val="24"/>
                <w:lang w:val="en-GB"/>
              </w:rPr>
              <w:t>0</w:t>
            </w:r>
            <w:r w:rsidR="00AB7182" w:rsidRPr="00B67949">
              <w:rPr>
                <w:szCs w:val="24"/>
                <w:lang w:val="en-GB"/>
              </w:rPr>
              <w:t>.</w:t>
            </w:r>
            <w:r w:rsidRPr="00B67949">
              <w:rPr>
                <w:szCs w:val="24"/>
                <w:lang w:val="en-GB"/>
              </w:rPr>
              <w:t>319</w:t>
            </w:r>
          </w:p>
        </w:tc>
        <w:tc>
          <w:tcPr>
            <w:tcW w:w="0" w:type="auto"/>
            <w:tcBorders>
              <w:top w:val="single" w:sz="4" w:space="0" w:color="auto"/>
            </w:tcBorders>
            <w:vAlign w:val="center"/>
          </w:tcPr>
          <w:p w14:paraId="6270EB82" w14:textId="6D50455C" w:rsidR="008B7F73" w:rsidRPr="00B67949" w:rsidRDefault="008B7F73" w:rsidP="00AB7182">
            <w:pPr>
              <w:jc w:val="center"/>
              <w:rPr>
                <w:szCs w:val="24"/>
                <w:lang w:val="en-GB"/>
              </w:rPr>
            </w:pPr>
            <w:r w:rsidRPr="00B67949">
              <w:rPr>
                <w:szCs w:val="24"/>
                <w:lang w:val="en-GB"/>
              </w:rPr>
              <w:t>±</w:t>
            </w:r>
            <w:r w:rsidR="00003E40" w:rsidRPr="00B67949">
              <w:rPr>
                <w:szCs w:val="24"/>
                <w:lang w:val="en-GB"/>
              </w:rPr>
              <w:t> </w:t>
            </w:r>
            <w:r w:rsidRPr="00B67949">
              <w:rPr>
                <w:szCs w:val="24"/>
                <w:lang w:val="en-GB"/>
              </w:rPr>
              <w:t>0</w:t>
            </w:r>
            <w:r w:rsidR="00AB7182" w:rsidRPr="00B67949">
              <w:rPr>
                <w:szCs w:val="24"/>
                <w:lang w:val="en-GB"/>
              </w:rPr>
              <w:t>.</w:t>
            </w:r>
            <w:r w:rsidRPr="00B67949">
              <w:rPr>
                <w:szCs w:val="24"/>
                <w:lang w:val="en-GB"/>
              </w:rPr>
              <w:t>0481</w:t>
            </w:r>
          </w:p>
        </w:tc>
      </w:tr>
    </w:tbl>
    <w:p w14:paraId="44340C91" w14:textId="5EC3E142" w:rsidR="00046F48" w:rsidRPr="00B67949" w:rsidRDefault="0064434E" w:rsidP="00581465">
      <w:pPr>
        <w:rPr>
          <w:sz w:val="22"/>
          <w:szCs w:val="24"/>
          <w:lang w:val="en-GB"/>
        </w:rPr>
      </w:pPr>
      <w:r w:rsidRPr="00B67949">
        <w:rPr>
          <w:sz w:val="22"/>
          <w:szCs w:val="24"/>
          <w:lang w:val="en-GB"/>
        </w:rPr>
        <w:t>Ho/He</w:t>
      </w:r>
      <w:r w:rsidR="00BE4E87" w:rsidRPr="00B67949">
        <w:rPr>
          <w:sz w:val="22"/>
          <w:szCs w:val="24"/>
          <w:lang w:val="en-GB"/>
        </w:rPr>
        <w:t xml:space="preserve"> </w:t>
      </w:r>
      <w:r w:rsidR="004C1C39" w:rsidRPr="00B67949">
        <w:rPr>
          <w:sz w:val="22"/>
          <w:szCs w:val="24"/>
          <w:lang w:val="en-GB"/>
        </w:rPr>
        <w:t>–</w:t>
      </w:r>
      <w:r w:rsidR="00BE4E87" w:rsidRPr="00B67949">
        <w:rPr>
          <w:sz w:val="22"/>
          <w:szCs w:val="24"/>
          <w:lang w:val="en-GB"/>
        </w:rPr>
        <w:t xml:space="preserve"> </w:t>
      </w:r>
      <w:r w:rsidRPr="00B67949">
        <w:rPr>
          <w:sz w:val="22"/>
          <w:szCs w:val="24"/>
          <w:lang w:val="en-GB"/>
        </w:rPr>
        <w:t>observed/</w:t>
      </w:r>
      <w:r w:rsidR="00D64842" w:rsidRPr="00B67949">
        <w:rPr>
          <w:sz w:val="22"/>
          <w:szCs w:val="24"/>
          <w:lang w:val="en-GB"/>
        </w:rPr>
        <w:t>excepted</w:t>
      </w:r>
      <w:r w:rsidRPr="00B67949">
        <w:rPr>
          <w:sz w:val="22"/>
          <w:szCs w:val="24"/>
          <w:lang w:val="en-GB"/>
        </w:rPr>
        <w:t xml:space="preserve"> heterozygosity;</w:t>
      </w:r>
      <w:r w:rsidR="00D12C35" w:rsidRPr="00B67949">
        <w:rPr>
          <w:sz w:val="22"/>
          <w:szCs w:val="24"/>
          <w:lang w:val="en-GB"/>
        </w:rPr>
        <w:t xml:space="preserve"> χ</w:t>
      </w:r>
      <w:r w:rsidR="00D12C35" w:rsidRPr="00B67949">
        <w:rPr>
          <w:sz w:val="22"/>
          <w:szCs w:val="24"/>
          <w:vertAlign w:val="superscript"/>
          <w:lang w:val="en-GB"/>
        </w:rPr>
        <w:t>2</w:t>
      </w:r>
      <w:r w:rsidRPr="00B67949">
        <w:rPr>
          <w:sz w:val="22"/>
          <w:szCs w:val="24"/>
          <w:lang w:val="en-GB"/>
        </w:rPr>
        <w:t xml:space="preserve"> – Chi square; </w:t>
      </w:r>
      <w:r w:rsidR="004B2D5C" w:rsidRPr="004B2D5C">
        <w:rPr>
          <w:sz w:val="22"/>
          <w:szCs w:val="24"/>
          <w:vertAlign w:val="superscript"/>
          <w:lang w:val="en-GB"/>
        </w:rPr>
        <w:t>ns</w:t>
      </w:r>
      <w:r w:rsidR="004B2D5C">
        <w:rPr>
          <w:sz w:val="22"/>
          <w:szCs w:val="24"/>
          <w:lang w:val="en-GB"/>
        </w:rPr>
        <w:t xml:space="preserve"> – </w:t>
      </w:r>
      <w:proofErr w:type="gramStart"/>
      <w:r w:rsidR="004B2D5C">
        <w:rPr>
          <w:sz w:val="22"/>
          <w:szCs w:val="24"/>
          <w:lang w:val="en-GB"/>
        </w:rPr>
        <w:t>non significant</w:t>
      </w:r>
      <w:proofErr w:type="gramEnd"/>
      <w:r w:rsidR="004B2D5C">
        <w:rPr>
          <w:sz w:val="22"/>
          <w:szCs w:val="24"/>
          <w:lang w:val="en-GB"/>
        </w:rPr>
        <w:t xml:space="preserve">; </w:t>
      </w:r>
      <w:r w:rsidR="00003E40" w:rsidRPr="00B67949">
        <w:rPr>
          <w:i/>
          <w:sz w:val="22"/>
          <w:szCs w:val="24"/>
          <w:lang w:val="en-GB"/>
        </w:rPr>
        <w:t>S.D.</w:t>
      </w:r>
      <w:r w:rsidRPr="00B67949">
        <w:rPr>
          <w:sz w:val="22"/>
          <w:szCs w:val="24"/>
          <w:lang w:val="en-GB"/>
        </w:rPr>
        <w:t xml:space="preserve"> – standard deviation </w:t>
      </w:r>
    </w:p>
    <w:p w14:paraId="1BD2E62D" w14:textId="77777777" w:rsidR="005A457E" w:rsidRPr="00B67949" w:rsidRDefault="005A457E" w:rsidP="00581465">
      <w:pPr>
        <w:rPr>
          <w:szCs w:val="24"/>
          <w:lang w:val="en-GB"/>
        </w:rPr>
      </w:pPr>
    </w:p>
    <w:p w14:paraId="04D51B7A" w14:textId="251FA547" w:rsidR="00C33101" w:rsidRPr="00495482" w:rsidRDefault="00AA19B5" w:rsidP="00E8022C">
      <w:pPr>
        <w:rPr>
          <w:szCs w:val="24"/>
          <w:lang w:val="en-GB"/>
        </w:rPr>
      </w:pPr>
      <w:r w:rsidRPr="00B67949">
        <w:rPr>
          <w:szCs w:val="24"/>
          <w:lang w:val="en-GB"/>
        </w:rPr>
        <w:t>All</w:t>
      </w:r>
      <w:r w:rsidR="00D21339" w:rsidRPr="00B67949">
        <w:rPr>
          <w:szCs w:val="24"/>
          <w:lang w:val="en-GB"/>
        </w:rPr>
        <w:t>ele</w:t>
      </w:r>
      <w:r w:rsidRPr="00B67949">
        <w:rPr>
          <w:szCs w:val="24"/>
          <w:lang w:val="en-GB"/>
        </w:rPr>
        <w:t xml:space="preserve"> variant </w:t>
      </w:r>
      <w:r w:rsidR="00003E40" w:rsidRPr="00B67949">
        <w:rPr>
          <w:rFonts w:cs="Arial"/>
          <w:szCs w:val="24"/>
          <w:lang w:val="en-GB"/>
        </w:rPr>
        <w:t>GHR</w:t>
      </w:r>
      <w:r w:rsidR="00003E40" w:rsidRPr="00B67949">
        <w:rPr>
          <w:rFonts w:cs="Arial"/>
          <w:szCs w:val="24"/>
          <w:vertAlign w:val="superscript"/>
          <w:lang w:val="en-GB"/>
        </w:rPr>
        <w:t>A</w:t>
      </w:r>
      <w:r w:rsidRPr="00B67949">
        <w:rPr>
          <w:szCs w:val="24"/>
          <w:lang w:val="en-GB"/>
        </w:rPr>
        <w:t xml:space="preserve"> in relation to </w:t>
      </w:r>
      <w:r w:rsidR="00003E40" w:rsidRPr="00B67949">
        <w:rPr>
          <w:rFonts w:cs="Arial"/>
          <w:szCs w:val="24"/>
          <w:lang w:val="en-GB"/>
        </w:rPr>
        <w:t>GHR</w:t>
      </w:r>
      <w:r w:rsidR="00003E40" w:rsidRPr="00B67949">
        <w:rPr>
          <w:rFonts w:cs="Arial"/>
          <w:szCs w:val="24"/>
          <w:vertAlign w:val="superscript"/>
          <w:lang w:val="en-GB"/>
        </w:rPr>
        <w:t>G</w:t>
      </w:r>
      <w:r w:rsidRPr="00B67949">
        <w:rPr>
          <w:szCs w:val="24"/>
          <w:lang w:val="en-GB"/>
        </w:rPr>
        <w:t xml:space="preserve"> allele dominates </w:t>
      </w:r>
      <w:r w:rsidR="00E21FB5" w:rsidRPr="00B67949">
        <w:rPr>
          <w:szCs w:val="24"/>
          <w:lang w:val="en-GB"/>
        </w:rPr>
        <w:t xml:space="preserve">in the studied </w:t>
      </w:r>
      <w:r w:rsidR="00A3761E" w:rsidRPr="00B67949">
        <w:rPr>
          <w:szCs w:val="24"/>
          <w:lang w:val="en-GB"/>
        </w:rPr>
        <w:t xml:space="preserve">cattle </w:t>
      </w:r>
      <w:r w:rsidR="00E21FB5" w:rsidRPr="00B67949">
        <w:rPr>
          <w:szCs w:val="24"/>
          <w:lang w:val="en-GB"/>
        </w:rPr>
        <w:t>population</w:t>
      </w:r>
      <w:r w:rsidR="00A3761E" w:rsidRPr="00B67949">
        <w:rPr>
          <w:szCs w:val="24"/>
          <w:lang w:val="en-GB"/>
        </w:rPr>
        <w:t>s</w:t>
      </w:r>
      <w:r w:rsidR="00E21FB5" w:rsidRPr="00B67949">
        <w:rPr>
          <w:szCs w:val="24"/>
          <w:lang w:val="en-GB"/>
        </w:rPr>
        <w:t xml:space="preserve"> (</w:t>
      </w:r>
      <w:proofErr w:type="gramStart"/>
      <w:r w:rsidR="00E21FB5" w:rsidRPr="00B67949">
        <w:rPr>
          <w:szCs w:val="24"/>
          <w:lang w:val="en-GB"/>
        </w:rPr>
        <w:t>0</w:t>
      </w:r>
      <w:r w:rsidR="004E1F82" w:rsidRPr="00B67949">
        <w:rPr>
          <w:szCs w:val="24"/>
          <w:lang w:val="en-GB"/>
        </w:rPr>
        <w:t>.</w:t>
      </w:r>
      <w:r w:rsidR="00E8022C" w:rsidRPr="00B67949">
        <w:rPr>
          <w:szCs w:val="24"/>
          <w:lang w:val="en-GB"/>
        </w:rPr>
        <w:t>68</w:t>
      </w:r>
      <w:r w:rsidR="000929A7" w:rsidRPr="00B67949">
        <w:rPr>
          <w:szCs w:val="24"/>
          <w:lang w:val="en-GB"/>
        </w:rPr>
        <w:t> </w:t>
      </w:r>
      <w:r w:rsidR="00E21FB5" w:rsidRPr="00B67949">
        <w:rPr>
          <w:szCs w:val="24"/>
          <w:lang w:val="en-GB"/>
        </w:rPr>
        <w:t>:</w:t>
      </w:r>
      <w:proofErr w:type="gramEnd"/>
      <w:r w:rsidR="000929A7" w:rsidRPr="00B67949">
        <w:rPr>
          <w:szCs w:val="24"/>
          <w:lang w:val="en-GB"/>
        </w:rPr>
        <w:t> </w:t>
      </w:r>
      <w:r w:rsidR="004E1F82" w:rsidRPr="00B67949">
        <w:rPr>
          <w:szCs w:val="24"/>
          <w:lang w:val="en-GB"/>
        </w:rPr>
        <w:t>0.</w:t>
      </w:r>
      <w:r w:rsidR="00E21FB5" w:rsidRPr="00B67949">
        <w:rPr>
          <w:szCs w:val="24"/>
          <w:lang w:val="en-GB"/>
        </w:rPr>
        <w:t>3</w:t>
      </w:r>
      <w:r w:rsidR="00E8022C" w:rsidRPr="00B67949">
        <w:rPr>
          <w:szCs w:val="24"/>
          <w:lang w:val="en-GB"/>
        </w:rPr>
        <w:t>2</w:t>
      </w:r>
      <w:r w:rsidR="00E21FB5" w:rsidRPr="00B67949">
        <w:rPr>
          <w:szCs w:val="24"/>
          <w:lang w:val="en-GB"/>
        </w:rPr>
        <w:t>).</w:t>
      </w:r>
      <w:r w:rsidR="00163DBF" w:rsidRPr="00B67949">
        <w:rPr>
          <w:szCs w:val="24"/>
          <w:lang w:val="en-GB"/>
        </w:rPr>
        <w:t xml:space="preserve"> </w:t>
      </w:r>
      <w:proofErr w:type="spellStart"/>
      <w:r w:rsidR="00E4098F" w:rsidRPr="00B67949">
        <w:rPr>
          <w:szCs w:val="24"/>
          <w:lang w:val="en-GB"/>
        </w:rPr>
        <w:t>Ardicli</w:t>
      </w:r>
      <w:proofErr w:type="spellEnd"/>
      <w:r w:rsidR="00E4098F" w:rsidRPr="00B67949">
        <w:rPr>
          <w:szCs w:val="24"/>
          <w:lang w:val="en-GB"/>
        </w:rPr>
        <w:t xml:space="preserve"> et al. (2017) observed in Holstein population observed dominance of </w:t>
      </w:r>
      <w:r w:rsidR="00003E40" w:rsidRPr="00B67949">
        <w:rPr>
          <w:rFonts w:cs="Arial"/>
          <w:szCs w:val="24"/>
          <w:lang w:val="en-GB"/>
        </w:rPr>
        <w:t>GHR</w:t>
      </w:r>
      <w:r w:rsidR="00003E40" w:rsidRPr="00B67949">
        <w:rPr>
          <w:rFonts w:cs="Arial"/>
          <w:szCs w:val="24"/>
          <w:vertAlign w:val="superscript"/>
          <w:lang w:val="en-GB"/>
        </w:rPr>
        <w:t>A</w:t>
      </w:r>
      <w:r w:rsidR="00E4098F" w:rsidRPr="00B67949">
        <w:rPr>
          <w:szCs w:val="24"/>
          <w:lang w:val="en-GB"/>
        </w:rPr>
        <w:t xml:space="preserve"> </w:t>
      </w:r>
      <w:proofErr w:type="spellStart"/>
      <w:r w:rsidR="00E4098F" w:rsidRPr="00B67949">
        <w:rPr>
          <w:szCs w:val="24"/>
          <w:lang w:val="en-GB"/>
        </w:rPr>
        <w:t>alelle</w:t>
      </w:r>
      <w:proofErr w:type="spellEnd"/>
      <w:r w:rsidR="00E4098F" w:rsidRPr="00B67949">
        <w:rPr>
          <w:szCs w:val="24"/>
          <w:lang w:val="en-GB"/>
        </w:rPr>
        <w:t xml:space="preserve"> variant (A vs. G; </w:t>
      </w:r>
      <w:proofErr w:type="gramStart"/>
      <w:r w:rsidR="00E4098F" w:rsidRPr="00B67949">
        <w:rPr>
          <w:szCs w:val="24"/>
          <w:lang w:val="en-GB"/>
        </w:rPr>
        <w:t>0.76 :</w:t>
      </w:r>
      <w:proofErr w:type="gramEnd"/>
      <w:r w:rsidR="00E4098F" w:rsidRPr="00B67949">
        <w:rPr>
          <w:szCs w:val="24"/>
          <w:lang w:val="en-GB"/>
        </w:rPr>
        <w:t xml:space="preserve"> 0.24). </w:t>
      </w:r>
      <w:r w:rsidR="00E8022C" w:rsidRPr="00B67949">
        <w:rPr>
          <w:szCs w:val="24"/>
          <w:lang w:val="en-GB"/>
        </w:rPr>
        <w:t>Reardon</w:t>
      </w:r>
      <w:r w:rsidR="003C637A" w:rsidRPr="00B67949">
        <w:rPr>
          <w:szCs w:val="24"/>
          <w:lang w:val="en-GB"/>
        </w:rPr>
        <w:t xml:space="preserve"> et al</w:t>
      </w:r>
      <w:r w:rsidR="002875F7" w:rsidRPr="00B67949">
        <w:rPr>
          <w:szCs w:val="24"/>
          <w:lang w:val="en-GB"/>
        </w:rPr>
        <w:t>. (20</w:t>
      </w:r>
      <w:r w:rsidR="00E8022C" w:rsidRPr="00B67949">
        <w:rPr>
          <w:szCs w:val="24"/>
          <w:lang w:val="en-GB"/>
        </w:rPr>
        <w:t>10</w:t>
      </w:r>
      <w:r w:rsidR="002875F7" w:rsidRPr="00B67949">
        <w:rPr>
          <w:szCs w:val="24"/>
          <w:lang w:val="en-GB"/>
        </w:rPr>
        <w:t xml:space="preserve">) </w:t>
      </w:r>
      <w:r w:rsidR="000929A7" w:rsidRPr="00B67949">
        <w:rPr>
          <w:szCs w:val="24"/>
          <w:lang w:val="en-GB"/>
        </w:rPr>
        <w:t xml:space="preserve">in population </w:t>
      </w:r>
      <w:r w:rsidR="00E8022C" w:rsidRPr="00B67949">
        <w:rPr>
          <w:szCs w:val="24"/>
          <w:lang w:val="en-GB"/>
        </w:rPr>
        <w:t xml:space="preserve">of Irish cross bred cattle </w:t>
      </w:r>
      <w:r w:rsidR="002875F7" w:rsidRPr="00B67949">
        <w:rPr>
          <w:szCs w:val="24"/>
          <w:lang w:val="en-GB"/>
        </w:rPr>
        <w:t>observe</w:t>
      </w:r>
      <w:r w:rsidR="000929A7" w:rsidRPr="00B67949">
        <w:rPr>
          <w:szCs w:val="24"/>
          <w:lang w:val="en-GB"/>
        </w:rPr>
        <w:t>d</w:t>
      </w:r>
      <w:r w:rsidR="002875F7" w:rsidRPr="00B67949">
        <w:rPr>
          <w:szCs w:val="24"/>
          <w:lang w:val="en-GB"/>
        </w:rPr>
        <w:t xml:space="preserve"> the </w:t>
      </w:r>
      <w:r w:rsidR="000929A7" w:rsidRPr="00B67949">
        <w:rPr>
          <w:szCs w:val="24"/>
          <w:lang w:val="en-GB"/>
        </w:rPr>
        <w:t xml:space="preserve">higher </w:t>
      </w:r>
      <w:r w:rsidR="002875F7" w:rsidRPr="00B67949">
        <w:rPr>
          <w:szCs w:val="24"/>
          <w:lang w:val="en-GB"/>
        </w:rPr>
        <w:t xml:space="preserve">frequency of </w:t>
      </w:r>
      <w:r w:rsidR="00003E40" w:rsidRPr="00B67949">
        <w:rPr>
          <w:rFonts w:cs="Arial"/>
          <w:szCs w:val="24"/>
          <w:lang w:val="en-GB"/>
        </w:rPr>
        <w:t>GHR</w:t>
      </w:r>
      <w:r w:rsidR="00003E40" w:rsidRPr="00B67949">
        <w:rPr>
          <w:rFonts w:cs="Arial"/>
          <w:szCs w:val="24"/>
          <w:vertAlign w:val="superscript"/>
          <w:lang w:val="en-GB"/>
        </w:rPr>
        <w:t>A</w:t>
      </w:r>
      <w:r w:rsidR="002875F7" w:rsidRPr="00B67949">
        <w:rPr>
          <w:szCs w:val="24"/>
          <w:lang w:val="en-GB"/>
        </w:rPr>
        <w:t xml:space="preserve"> allele variants of the GHR gene (</w:t>
      </w:r>
      <w:r w:rsidR="00E8022C" w:rsidRPr="00B67949">
        <w:rPr>
          <w:szCs w:val="24"/>
          <w:lang w:val="en-GB"/>
        </w:rPr>
        <w:t>A</w:t>
      </w:r>
      <w:r w:rsidR="00C552F8" w:rsidRPr="00B67949">
        <w:rPr>
          <w:szCs w:val="24"/>
          <w:lang w:val="en-GB"/>
        </w:rPr>
        <w:t xml:space="preserve"> vs. </w:t>
      </w:r>
      <w:r w:rsidR="00E8022C" w:rsidRPr="00B67949">
        <w:rPr>
          <w:szCs w:val="24"/>
          <w:lang w:val="en-GB"/>
        </w:rPr>
        <w:t>G</w:t>
      </w:r>
      <w:r w:rsidR="00C552F8" w:rsidRPr="00B67949">
        <w:rPr>
          <w:szCs w:val="24"/>
          <w:lang w:val="en-GB"/>
        </w:rPr>
        <w:t xml:space="preserve">; </w:t>
      </w:r>
      <w:proofErr w:type="gramStart"/>
      <w:r w:rsidR="007C1B3A" w:rsidRPr="00B67949">
        <w:rPr>
          <w:szCs w:val="24"/>
          <w:lang w:val="en-GB"/>
        </w:rPr>
        <w:t>0.</w:t>
      </w:r>
      <w:r w:rsidR="00E8022C" w:rsidRPr="00B67949">
        <w:rPr>
          <w:szCs w:val="24"/>
          <w:lang w:val="en-GB"/>
        </w:rPr>
        <w:t>58</w:t>
      </w:r>
      <w:r w:rsidR="000929A7" w:rsidRPr="00B67949">
        <w:rPr>
          <w:szCs w:val="24"/>
          <w:lang w:val="en-GB"/>
        </w:rPr>
        <w:t> </w:t>
      </w:r>
      <w:r w:rsidR="002875F7" w:rsidRPr="00B67949">
        <w:rPr>
          <w:szCs w:val="24"/>
          <w:lang w:val="en-GB"/>
        </w:rPr>
        <w:t>:</w:t>
      </w:r>
      <w:proofErr w:type="gramEnd"/>
      <w:r w:rsidR="000929A7" w:rsidRPr="00B67949">
        <w:rPr>
          <w:szCs w:val="24"/>
          <w:lang w:val="en-GB"/>
        </w:rPr>
        <w:t> </w:t>
      </w:r>
      <w:r w:rsidR="007C1B3A" w:rsidRPr="00B67949">
        <w:rPr>
          <w:szCs w:val="24"/>
          <w:lang w:val="en-GB"/>
        </w:rPr>
        <w:t>0.</w:t>
      </w:r>
      <w:r w:rsidR="00E8022C" w:rsidRPr="00B67949">
        <w:rPr>
          <w:szCs w:val="24"/>
          <w:lang w:val="en-GB"/>
        </w:rPr>
        <w:t>42</w:t>
      </w:r>
      <w:r w:rsidR="002875F7" w:rsidRPr="00B67949">
        <w:rPr>
          <w:szCs w:val="24"/>
          <w:lang w:val="en-GB"/>
        </w:rPr>
        <w:t>)</w:t>
      </w:r>
      <w:r w:rsidR="00E8022C" w:rsidRPr="00B67949">
        <w:rPr>
          <w:szCs w:val="24"/>
          <w:lang w:val="en-GB"/>
        </w:rPr>
        <w:t>.</w:t>
      </w:r>
      <w:r w:rsidR="002875F7" w:rsidRPr="00B67949">
        <w:rPr>
          <w:szCs w:val="24"/>
          <w:lang w:val="en-GB"/>
        </w:rPr>
        <w:t xml:space="preserve"> </w:t>
      </w:r>
      <w:proofErr w:type="spellStart"/>
      <w:r w:rsidR="00A72049" w:rsidRPr="00B67949">
        <w:rPr>
          <w:szCs w:val="24"/>
          <w:lang w:val="en-GB"/>
        </w:rPr>
        <w:t>Hadi</w:t>
      </w:r>
      <w:proofErr w:type="spellEnd"/>
      <w:r w:rsidR="00A72049" w:rsidRPr="00B67949">
        <w:rPr>
          <w:szCs w:val="24"/>
          <w:lang w:val="en-GB"/>
        </w:rPr>
        <w:t xml:space="preserve"> et al. (2015) </w:t>
      </w:r>
      <w:r w:rsidR="00E8022C" w:rsidRPr="00B67949">
        <w:rPr>
          <w:szCs w:val="24"/>
          <w:lang w:val="en-GB"/>
        </w:rPr>
        <w:t xml:space="preserve">also </w:t>
      </w:r>
      <w:r w:rsidR="00675DC8" w:rsidRPr="00B67949">
        <w:rPr>
          <w:szCs w:val="24"/>
          <w:lang w:val="en-GB"/>
        </w:rPr>
        <w:t xml:space="preserve">noticed dominance of </w:t>
      </w:r>
      <w:r w:rsidR="00003E40" w:rsidRPr="00B67949">
        <w:rPr>
          <w:rFonts w:cs="Arial"/>
          <w:szCs w:val="24"/>
          <w:lang w:val="en-GB"/>
        </w:rPr>
        <w:t>GHR</w:t>
      </w:r>
      <w:r w:rsidR="00003E40" w:rsidRPr="00B67949">
        <w:rPr>
          <w:rFonts w:cs="Arial"/>
          <w:szCs w:val="24"/>
          <w:vertAlign w:val="superscript"/>
          <w:lang w:val="en-GB"/>
        </w:rPr>
        <w:t>A</w:t>
      </w:r>
      <w:r w:rsidR="00675DC8" w:rsidRPr="00B67949">
        <w:rPr>
          <w:szCs w:val="24"/>
          <w:lang w:val="en-GB"/>
        </w:rPr>
        <w:t xml:space="preserve"> </w:t>
      </w:r>
      <w:proofErr w:type="spellStart"/>
      <w:r w:rsidR="00675DC8" w:rsidRPr="00B67949">
        <w:rPr>
          <w:szCs w:val="24"/>
          <w:lang w:val="en-GB"/>
        </w:rPr>
        <w:t>alelle</w:t>
      </w:r>
      <w:proofErr w:type="spellEnd"/>
      <w:r w:rsidR="00675DC8" w:rsidRPr="00B67949">
        <w:rPr>
          <w:szCs w:val="24"/>
          <w:lang w:val="en-GB"/>
        </w:rPr>
        <w:t xml:space="preserve"> variant (</w:t>
      </w:r>
      <w:r w:rsidR="00E4098F" w:rsidRPr="00B67949">
        <w:rPr>
          <w:szCs w:val="24"/>
          <w:lang w:val="en-GB"/>
        </w:rPr>
        <w:t>A</w:t>
      </w:r>
      <w:r w:rsidR="00C552F8" w:rsidRPr="00B67949">
        <w:rPr>
          <w:szCs w:val="24"/>
          <w:lang w:val="en-GB"/>
        </w:rPr>
        <w:t xml:space="preserve"> vs. </w:t>
      </w:r>
      <w:r w:rsidR="00E4098F" w:rsidRPr="00B67949">
        <w:rPr>
          <w:szCs w:val="24"/>
          <w:lang w:val="en-GB"/>
        </w:rPr>
        <w:t>G</w:t>
      </w:r>
      <w:r w:rsidR="00C552F8" w:rsidRPr="00B67949">
        <w:rPr>
          <w:szCs w:val="24"/>
          <w:lang w:val="en-GB"/>
        </w:rPr>
        <w:t xml:space="preserve">; </w:t>
      </w:r>
      <w:proofErr w:type="gramStart"/>
      <w:r w:rsidR="00675DC8" w:rsidRPr="00B67949">
        <w:rPr>
          <w:szCs w:val="24"/>
          <w:lang w:val="en-GB"/>
        </w:rPr>
        <w:t>0.</w:t>
      </w:r>
      <w:r w:rsidR="00E4098F" w:rsidRPr="00B67949">
        <w:rPr>
          <w:szCs w:val="24"/>
          <w:lang w:val="en-GB"/>
        </w:rPr>
        <w:t>64</w:t>
      </w:r>
      <w:r w:rsidR="000929A7" w:rsidRPr="00B67949">
        <w:rPr>
          <w:szCs w:val="24"/>
          <w:lang w:val="en-GB"/>
        </w:rPr>
        <w:t> </w:t>
      </w:r>
      <w:r w:rsidR="00675DC8" w:rsidRPr="00B67949">
        <w:rPr>
          <w:szCs w:val="24"/>
          <w:lang w:val="en-GB"/>
        </w:rPr>
        <w:t>:</w:t>
      </w:r>
      <w:proofErr w:type="gramEnd"/>
      <w:r w:rsidR="000929A7" w:rsidRPr="00B67949">
        <w:rPr>
          <w:szCs w:val="24"/>
          <w:lang w:val="en-GB"/>
        </w:rPr>
        <w:t> </w:t>
      </w:r>
      <w:r w:rsidR="00675DC8" w:rsidRPr="00B67949">
        <w:rPr>
          <w:szCs w:val="24"/>
          <w:lang w:val="en-GB"/>
        </w:rPr>
        <w:t>0.</w:t>
      </w:r>
      <w:r w:rsidR="00E4098F" w:rsidRPr="00B67949">
        <w:rPr>
          <w:szCs w:val="24"/>
          <w:lang w:val="en-GB"/>
        </w:rPr>
        <w:t>36</w:t>
      </w:r>
      <w:r w:rsidR="00675DC8" w:rsidRPr="00B67949">
        <w:rPr>
          <w:szCs w:val="24"/>
          <w:lang w:val="en-GB"/>
        </w:rPr>
        <w:t>)</w:t>
      </w:r>
      <w:r w:rsidR="007C1B3A" w:rsidRPr="00B67949">
        <w:rPr>
          <w:szCs w:val="24"/>
          <w:lang w:val="en-GB"/>
        </w:rPr>
        <w:t xml:space="preserve">. </w:t>
      </w:r>
      <w:r w:rsidR="004C1C39">
        <w:rPr>
          <w:szCs w:val="24"/>
          <w:lang w:val="en-GB"/>
        </w:rPr>
        <w:t xml:space="preserve">Contrary, </w:t>
      </w:r>
      <w:r w:rsidR="00FB7CD2" w:rsidRPr="00B67949">
        <w:rPr>
          <w:szCs w:val="24"/>
          <w:lang w:val="en-GB"/>
        </w:rPr>
        <w:t xml:space="preserve">Di </w:t>
      </w:r>
      <w:proofErr w:type="spellStart"/>
      <w:r w:rsidR="00FB7CD2" w:rsidRPr="00B67949">
        <w:rPr>
          <w:szCs w:val="24"/>
          <w:lang w:val="en-GB"/>
        </w:rPr>
        <w:t>Stasio</w:t>
      </w:r>
      <w:proofErr w:type="spellEnd"/>
      <w:r w:rsidR="00FB7CD2" w:rsidRPr="00B67949">
        <w:rPr>
          <w:szCs w:val="24"/>
          <w:lang w:val="en-GB"/>
        </w:rPr>
        <w:t xml:space="preserve"> et al. (2005) obse</w:t>
      </w:r>
      <w:r w:rsidR="004C1C39">
        <w:rPr>
          <w:szCs w:val="24"/>
          <w:lang w:val="en-GB"/>
        </w:rPr>
        <w:t>rved</w:t>
      </w:r>
      <w:r w:rsidR="00FB7CD2" w:rsidRPr="00B67949">
        <w:rPr>
          <w:szCs w:val="24"/>
          <w:lang w:val="en-GB"/>
        </w:rPr>
        <w:t xml:space="preserve"> equal distribution of both </w:t>
      </w:r>
      <w:proofErr w:type="spellStart"/>
      <w:r w:rsidR="00FB7CD2" w:rsidRPr="00B67949">
        <w:rPr>
          <w:szCs w:val="24"/>
          <w:lang w:val="en-GB"/>
        </w:rPr>
        <w:t>alelle</w:t>
      </w:r>
      <w:proofErr w:type="spellEnd"/>
      <w:r w:rsidR="00FB7CD2" w:rsidRPr="00B67949">
        <w:rPr>
          <w:szCs w:val="24"/>
          <w:lang w:val="en-GB"/>
        </w:rPr>
        <w:t xml:space="preserve"> variants (A vs. G; </w:t>
      </w:r>
      <w:proofErr w:type="gramStart"/>
      <w:r w:rsidR="00FB7CD2" w:rsidRPr="00B67949">
        <w:rPr>
          <w:szCs w:val="24"/>
          <w:lang w:val="en-GB"/>
        </w:rPr>
        <w:t>0.49 :</w:t>
      </w:r>
      <w:proofErr w:type="gramEnd"/>
      <w:r w:rsidR="00FB7CD2" w:rsidRPr="00B67949">
        <w:rPr>
          <w:szCs w:val="24"/>
          <w:lang w:val="en-GB"/>
        </w:rPr>
        <w:t> 0.51)</w:t>
      </w:r>
      <w:r w:rsidR="00EB4AD2">
        <w:rPr>
          <w:szCs w:val="24"/>
          <w:lang w:val="en-GB"/>
        </w:rPr>
        <w:t xml:space="preserve"> </w:t>
      </w:r>
      <w:r w:rsidR="004C1C39" w:rsidRPr="00B67949">
        <w:rPr>
          <w:szCs w:val="24"/>
          <w:lang w:val="en-GB"/>
        </w:rPr>
        <w:t xml:space="preserve">in population of </w:t>
      </w:r>
      <w:proofErr w:type="spellStart"/>
      <w:r w:rsidR="004C1C39" w:rsidRPr="00B67949">
        <w:rPr>
          <w:szCs w:val="24"/>
          <w:lang w:val="en-GB"/>
        </w:rPr>
        <w:t>Piemontese</w:t>
      </w:r>
      <w:proofErr w:type="spellEnd"/>
      <w:r w:rsidR="004C1C39" w:rsidRPr="00B67949">
        <w:rPr>
          <w:szCs w:val="24"/>
          <w:lang w:val="en-GB"/>
        </w:rPr>
        <w:t xml:space="preserve"> bulls</w:t>
      </w:r>
      <w:r w:rsidR="004C1C39">
        <w:rPr>
          <w:szCs w:val="24"/>
          <w:lang w:val="en-GB"/>
        </w:rPr>
        <w:t>.</w:t>
      </w:r>
      <w:r w:rsidR="00772D02">
        <w:rPr>
          <w:szCs w:val="24"/>
          <w:lang w:val="en-GB"/>
        </w:rPr>
        <w:t xml:space="preserve"> </w:t>
      </w:r>
      <w:r w:rsidR="00772D02" w:rsidRPr="007D14FB">
        <w:rPr>
          <w:color w:val="auto"/>
          <w:szCs w:val="24"/>
          <w:lang w:val="en-GB"/>
        </w:rPr>
        <w:t>The results of χ</w:t>
      </w:r>
      <w:r w:rsidR="00772D02" w:rsidRPr="00495482">
        <w:rPr>
          <w:i/>
          <w:color w:val="auto"/>
          <w:szCs w:val="24"/>
          <w:vertAlign w:val="superscript"/>
          <w:lang w:val="en-GB"/>
        </w:rPr>
        <w:t>2</w:t>
      </w:r>
      <w:r w:rsidR="00495482">
        <w:rPr>
          <w:color w:val="auto"/>
          <w:szCs w:val="24"/>
          <w:lang w:val="en-GB"/>
        </w:rPr>
        <w:noBreakHyphen/>
      </w:r>
      <w:r w:rsidR="00772D02" w:rsidRPr="007D14FB">
        <w:rPr>
          <w:color w:val="auto"/>
          <w:szCs w:val="24"/>
          <w:lang w:val="en-GB"/>
        </w:rPr>
        <w:t>test show that the observed genotypes of GHR gene in the examined population</w:t>
      </w:r>
      <w:r w:rsidR="001D4D79" w:rsidRPr="007D14FB">
        <w:rPr>
          <w:color w:val="auto"/>
          <w:szCs w:val="24"/>
          <w:lang w:val="en-GB"/>
        </w:rPr>
        <w:t xml:space="preserve"> </w:t>
      </w:r>
      <w:r w:rsidR="007D14FB" w:rsidRPr="007D14FB">
        <w:t xml:space="preserve">are </w:t>
      </w:r>
      <w:proofErr w:type="spellStart"/>
      <w:r w:rsidR="007D14FB" w:rsidRPr="007D14FB">
        <w:rPr>
          <w:iCs/>
        </w:rPr>
        <w:t>not</w:t>
      </w:r>
      <w:proofErr w:type="spellEnd"/>
      <w:r w:rsidR="007D14FB" w:rsidRPr="007D14FB">
        <w:rPr>
          <w:iCs/>
        </w:rPr>
        <w:t xml:space="preserve"> </w:t>
      </w:r>
      <w:proofErr w:type="spellStart"/>
      <w:r w:rsidR="007D14FB" w:rsidRPr="007D14FB">
        <w:rPr>
          <w:iCs/>
        </w:rPr>
        <w:t>significantly</w:t>
      </w:r>
      <w:proofErr w:type="spellEnd"/>
      <w:r w:rsidR="007D14FB" w:rsidRPr="007D14FB">
        <w:t xml:space="preserve"> </w:t>
      </w:r>
      <w:proofErr w:type="spellStart"/>
      <w:r w:rsidR="007D14FB" w:rsidRPr="007D14FB">
        <w:t>different</w:t>
      </w:r>
      <w:proofErr w:type="spellEnd"/>
      <w:r w:rsidR="007D14FB" w:rsidRPr="007D14FB">
        <w:t xml:space="preserve"> </w:t>
      </w:r>
      <w:proofErr w:type="spellStart"/>
      <w:r w:rsidR="007D14FB" w:rsidRPr="007D14FB">
        <w:t>from</w:t>
      </w:r>
      <w:proofErr w:type="spellEnd"/>
      <w:r w:rsidR="007D14FB" w:rsidRPr="007D14FB">
        <w:t xml:space="preserve"> </w:t>
      </w:r>
      <w:proofErr w:type="spellStart"/>
      <w:r w:rsidR="007D14FB" w:rsidRPr="007D14FB">
        <w:t>those</w:t>
      </w:r>
      <w:proofErr w:type="spellEnd"/>
      <w:r w:rsidR="007D14FB" w:rsidRPr="007D14FB">
        <w:t xml:space="preserve"> </w:t>
      </w:r>
      <w:proofErr w:type="spellStart"/>
      <w:r w:rsidR="007D14FB" w:rsidRPr="007D14FB">
        <w:t>predicted</w:t>
      </w:r>
      <w:proofErr w:type="spellEnd"/>
      <w:r w:rsidR="007D14FB" w:rsidRPr="007D14FB">
        <w:t xml:space="preserve"> for a </w:t>
      </w:r>
      <w:proofErr w:type="spellStart"/>
      <w:r w:rsidR="007D14FB" w:rsidRPr="007D14FB">
        <w:t>population</w:t>
      </w:r>
      <w:proofErr w:type="spellEnd"/>
      <w:r w:rsidR="007D14FB" w:rsidRPr="007D14FB">
        <w:t xml:space="preserve"> </w:t>
      </w:r>
      <w:proofErr w:type="spellStart"/>
      <w:r w:rsidR="007D14FB" w:rsidRPr="007D14FB">
        <w:t>in</w:t>
      </w:r>
      <w:proofErr w:type="spellEnd"/>
      <w:r w:rsidR="00772D02" w:rsidRPr="007D14FB">
        <w:rPr>
          <w:color w:val="auto"/>
          <w:szCs w:val="24"/>
          <w:lang w:val="en-GB"/>
        </w:rPr>
        <w:t xml:space="preserve"> Hardy-Weinberg equilibrium (Table 2).</w:t>
      </w:r>
    </w:p>
    <w:p w14:paraId="02520C8C" w14:textId="20B7FC67" w:rsidR="00B351D5" w:rsidRPr="00B67949" w:rsidRDefault="00B351D5" w:rsidP="00581465">
      <w:pPr>
        <w:rPr>
          <w:szCs w:val="24"/>
          <w:lang w:val="en-GB"/>
        </w:rPr>
      </w:pPr>
    </w:p>
    <w:p w14:paraId="52DBD232" w14:textId="7984A2CF" w:rsidR="00CF5851" w:rsidRPr="00B67949" w:rsidRDefault="00CF5851" w:rsidP="00581465">
      <w:pPr>
        <w:rPr>
          <w:szCs w:val="24"/>
          <w:lang w:val="en-GB"/>
        </w:rPr>
      </w:pPr>
      <w:r w:rsidRPr="00B67949">
        <w:rPr>
          <w:szCs w:val="24"/>
          <w:lang w:val="en-GB"/>
        </w:rPr>
        <w:t xml:space="preserve">Table </w:t>
      </w:r>
      <w:r w:rsidR="00851EB8" w:rsidRPr="00B67949">
        <w:rPr>
          <w:szCs w:val="24"/>
          <w:lang w:val="en-GB"/>
        </w:rPr>
        <w:t>3</w:t>
      </w:r>
      <w:r w:rsidRPr="00B67949">
        <w:rPr>
          <w:szCs w:val="24"/>
          <w:lang w:val="en-GB"/>
        </w:rPr>
        <w:t xml:space="preserve"> </w:t>
      </w:r>
      <w:r w:rsidR="00090155" w:rsidRPr="00B67949">
        <w:rPr>
          <w:szCs w:val="24"/>
          <w:lang w:val="en-GB"/>
        </w:rPr>
        <w:t>Effect of GHR</w:t>
      </w:r>
      <w:r w:rsidR="00EE50E2" w:rsidRPr="00B67949">
        <w:rPr>
          <w:szCs w:val="24"/>
          <w:lang w:val="en-GB"/>
        </w:rPr>
        <w:t xml:space="preserve"> genotype on carcass and meat quality indicators</w:t>
      </w:r>
      <w:r w:rsidR="00E47762" w:rsidRPr="00B67949">
        <w:rPr>
          <w:szCs w:val="24"/>
          <w:lang w:val="en-GB"/>
        </w:rPr>
        <w:t xml:space="preserve"> of heifers</w:t>
      </w:r>
      <w:r w:rsidR="00EE50E2" w:rsidRPr="00B67949">
        <w:rPr>
          <w:szCs w:val="24"/>
          <w:lang w:val="en-GB"/>
        </w:rPr>
        <w:t xml:space="preserve"> </w:t>
      </w:r>
    </w:p>
    <w:tbl>
      <w:tblPr>
        <w:tblStyle w:val="Reetkatablice"/>
        <w:tblW w:w="4957"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126"/>
        <w:gridCol w:w="1700"/>
        <w:gridCol w:w="1616"/>
        <w:gridCol w:w="1816"/>
        <w:gridCol w:w="1242"/>
      </w:tblGrid>
      <w:tr w:rsidR="00851EB8" w:rsidRPr="00B67949" w14:paraId="6EC9039A" w14:textId="7615230E" w:rsidTr="000F6EA9">
        <w:trPr>
          <w:trHeight w:val="300"/>
        </w:trPr>
        <w:tc>
          <w:tcPr>
            <w:tcW w:w="239" w:type="pct"/>
            <w:vMerge w:val="restart"/>
            <w:tcBorders>
              <w:top w:val="single" w:sz="4" w:space="0" w:color="000000"/>
            </w:tcBorders>
          </w:tcPr>
          <w:p w14:paraId="2D34E8CA" w14:textId="77777777" w:rsidR="00851EB8" w:rsidRPr="00B67949" w:rsidRDefault="00851EB8" w:rsidP="00090155">
            <w:pPr>
              <w:jc w:val="left"/>
              <w:rPr>
                <w:rFonts w:eastAsia="Times New Roman"/>
                <w:szCs w:val="24"/>
                <w:lang w:val="en-GB" w:eastAsia="hr-HR"/>
              </w:rPr>
            </w:pPr>
          </w:p>
        </w:tc>
        <w:tc>
          <w:tcPr>
            <w:tcW w:w="1191" w:type="pct"/>
            <w:vMerge w:val="restart"/>
            <w:tcBorders>
              <w:top w:val="single" w:sz="4" w:space="0" w:color="000000"/>
              <w:bottom w:val="single" w:sz="4" w:space="0" w:color="auto"/>
            </w:tcBorders>
            <w:noWrap/>
            <w:vAlign w:val="center"/>
          </w:tcPr>
          <w:p w14:paraId="561BADB1" w14:textId="6FBC7DD9" w:rsidR="00851EB8" w:rsidRPr="00B67949" w:rsidRDefault="00851EB8" w:rsidP="00090155">
            <w:pPr>
              <w:jc w:val="left"/>
              <w:rPr>
                <w:rFonts w:eastAsia="Times New Roman"/>
                <w:szCs w:val="24"/>
                <w:lang w:val="en-GB" w:eastAsia="hr-HR"/>
              </w:rPr>
            </w:pPr>
            <w:r w:rsidRPr="00B67949">
              <w:rPr>
                <w:rFonts w:eastAsia="Times New Roman"/>
                <w:szCs w:val="24"/>
                <w:lang w:val="en-GB" w:eastAsia="hr-HR"/>
              </w:rPr>
              <w:t>Indicator</w:t>
            </w:r>
          </w:p>
        </w:tc>
        <w:tc>
          <w:tcPr>
            <w:tcW w:w="2874" w:type="pct"/>
            <w:gridSpan w:val="3"/>
            <w:tcBorders>
              <w:top w:val="single" w:sz="4" w:space="0" w:color="000000"/>
              <w:bottom w:val="single" w:sz="4" w:space="0" w:color="auto"/>
            </w:tcBorders>
            <w:noWrap/>
            <w:vAlign w:val="center"/>
          </w:tcPr>
          <w:p w14:paraId="7EE33DDB" w14:textId="26789795"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Genotype</w:t>
            </w:r>
          </w:p>
        </w:tc>
        <w:tc>
          <w:tcPr>
            <w:tcW w:w="696" w:type="pct"/>
            <w:vMerge w:val="restart"/>
            <w:tcBorders>
              <w:top w:val="single" w:sz="4" w:space="0" w:color="000000"/>
              <w:bottom w:val="single" w:sz="4" w:space="0" w:color="auto"/>
            </w:tcBorders>
          </w:tcPr>
          <w:p w14:paraId="23EEC3ED" w14:textId="1083C2EA" w:rsidR="00851EB8" w:rsidRPr="00B67949" w:rsidRDefault="00851EB8" w:rsidP="00851EB8">
            <w:pPr>
              <w:jc w:val="center"/>
              <w:rPr>
                <w:rFonts w:eastAsia="Times New Roman"/>
                <w:szCs w:val="24"/>
                <w:lang w:val="en-GB" w:eastAsia="hr-HR"/>
              </w:rPr>
            </w:pPr>
            <w:r w:rsidRPr="00B67949">
              <w:rPr>
                <w:rFonts w:eastAsia="Times New Roman"/>
                <w:szCs w:val="24"/>
                <w:lang w:val="en-GB" w:eastAsia="hr-HR"/>
              </w:rPr>
              <w:t>Sub. eff. of G allele</w:t>
            </w:r>
          </w:p>
        </w:tc>
      </w:tr>
      <w:tr w:rsidR="00851EB8" w:rsidRPr="00B67949" w14:paraId="622D4E10" w14:textId="19DF2E0C" w:rsidTr="000F6EA9">
        <w:trPr>
          <w:trHeight w:val="259"/>
        </w:trPr>
        <w:tc>
          <w:tcPr>
            <w:tcW w:w="239" w:type="pct"/>
            <w:vMerge/>
            <w:tcBorders>
              <w:bottom w:val="single" w:sz="4" w:space="0" w:color="auto"/>
            </w:tcBorders>
          </w:tcPr>
          <w:p w14:paraId="06990278" w14:textId="77777777" w:rsidR="00851EB8" w:rsidRPr="00B67949" w:rsidRDefault="00851EB8" w:rsidP="00C33101">
            <w:pPr>
              <w:jc w:val="center"/>
              <w:rPr>
                <w:rFonts w:eastAsia="Times New Roman"/>
                <w:szCs w:val="24"/>
                <w:lang w:val="en-GB" w:eastAsia="hr-HR"/>
              </w:rPr>
            </w:pPr>
          </w:p>
        </w:tc>
        <w:tc>
          <w:tcPr>
            <w:tcW w:w="1191" w:type="pct"/>
            <w:vMerge/>
            <w:tcBorders>
              <w:top w:val="single" w:sz="4" w:space="0" w:color="auto"/>
              <w:bottom w:val="single" w:sz="4" w:space="0" w:color="auto"/>
            </w:tcBorders>
            <w:noWrap/>
            <w:vAlign w:val="center"/>
            <w:hideMark/>
          </w:tcPr>
          <w:p w14:paraId="309C0D54" w14:textId="61D36A11" w:rsidR="00851EB8" w:rsidRPr="00B67949" w:rsidRDefault="00851EB8" w:rsidP="00C33101">
            <w:pPr>
              <w:jc w:val="center"/>
              <w:rPr>
                <w:rFonts w:eastAsia="Times New Roman"/>
                <w:szCs w:val="24"/>
                <w:lang w:val="en-GB" w:eastAsia="hr-HR"/>
              </w:rPr>
            </w:pPr>
          </w:p>
        </w:tc>
        <w:tc>
          <w:tcPr>
            <w:tcW w:w="952" w:type="pct"/>
            <w:tcBorders>
              <w:top w:val="single" w:sz="4" w:space="0" w:color="auto"/>
              <w:bottom w:val="single" w:sz="4" w:space="0" w:color="auto"/>
            </w:tcBorders>
            <w:noWrap/>
            <w:vAlign w:val="center"/>
            <w:hideMark/>
          </w:tcPr>
          <w:p w14:paraId="6DB81605"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AA</w:t>
            </w:r>
          </w:p>
        </w:tc>
        <w:tc>
          <w:tcPr>
            <w:tcW w:w="905" w:type="pct"/>
            <w:tcBorders>
              <w:top w:val="single" w:sz="4" w:space="0" w:color="auto"/>
              <w:bottom w:val="single" w:sz="4" w:space="0" w:color="auto"/>
            </w:tcBorders>
            <w:noWrap/>
            <w:vAlign w:val="center"/>
            <w:hideMark/>
          </w:tcPr>
          <w:p w14:paraId="4A31BB19"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GA</w:t>
            </w:r>
          </w:p>
        </w:tc>
        <w:tc>
          <w:tcPr>
            <w:tcW w:w="1017" w:type="pct"/>
            <w:tcBorders>
              <w:top w:val="single" w:sz="4" w:space="0" w:color="auto"/>
              <w:bottom w:val="single" w:sz="4" w:space="0" w:color="auto"/>
            </w:tcBorders>
            <w:noWrap/>
            <w:vAlign w:val="center"/>
            <w:hideMark/>
          </w:tcPr>
          <w:p w14:paraId="70E37C87"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GG</w:t>
            </w:r>
          </w:p>
        </w:tc>
        <w:tc>
          <w:tcPr>
            <w:tcW w:w="696" w:type="pct"/>
            <w:vMerge/>
            <w:tcBorders>
              <w:top w:val="single" w:sz="4" w:space="0" w:color="auto"/>
              <w:bottom w:val="single" w:sz="4" w:space="0" w:color="auto"/>
            </w:tcBorders>
          </w:tcPr>
          <w:p w14:paraId="21F638C2" w14:textId="77777777" w:rsidR="00851EB8" w:rsidRPr="00B67949" w:rsidRDefault="00851EB8" w:rsidP="00C33101">
            <w:pPr>
              <w:jc w:val="center"/>
              <w:rPr>
                <w:rFonts w:eastAsia="Times New Roman"/>
                <w:szCs w:val="24"/>
                <w:lang w:val="en-GB" w:eastAsia="hr-HR"/>
              </w:rPr>
            </w:pPr>
          </w:p>
        </w:tc>
      </w:tr>
      <w:tr w:rsidR="00851EB8" w:rsidRPr="00B67949" w14:paraId="59C86621" w14:textId="12E00559" w:rsidTr="000F6EA9">
        <w:trPr>
          <w:trHeight w:val="300"/>
        </w:trPr>
        <w:tc>
          <w:tcPr>
            <w:tcW w:w="239" w:type="pct"/>
            <w:vMerge w:val="restart"/>
            <w:tcBorders>
              <w:top w:val="single" w:sz="4" w:space="0" w:color="auto"/>
            </w:tcBorders>
            <w:textDirection w:val="btLr"/>
          </w:tcPr>
          <w:p w14:paraId="2541AF6C" w14:textId="075A10A0" w:rsidR="00851EB8" w:rsidRPr="00B67949" w:rsidRDefault="00851EB8" w:rsidP="00851EB8">
            <w:pPr>
              <w:ind w:left="113" w:right="113"/>
              <w:jc w:val="center"/>
              <w:rPr>
                <w:rFonts w:eastAsia="Times New Roman"/>
                <w:szCs w:val="24"/>
                <w:lang w:val="en-GB" w:eastAsia="hr-HR"/>
              </w:rPr>
            </w:pPr>
            <w:r w:rsidRPr="00B67949">
              <w:rPr>
                <w:rFonts w:eastAsia="Times New Roman"/>
                <w:szCs w:val="24"/>
                <w:lang w:val="en-GB" w:eastAsia="hr-HR"/>
              </w:rPr>
              <w:t>Carcass</w:t>
            </w:r>
          </w:p>
        </w:tc>
        <w:tc>
          <w:tcPr>
            <w:tcW w:w="1191" w:type="pct"/>
            <w:tcBorders>
              <w:top w:val="single" w:sz="4" w:space="0" w:color="auto"/>
              <w:bottom w:val="nil"/>
            </w:tcBorders>
            <w:noWrap/>
            <w:vAlign w:val="center"/>
            <w:hideMark/>
          </w:tcPr>
          <w:p w14:paraId="289CAEDC" w14:textId="37006579" w:rsidR="00851EB8" w:rsidRPr="00B67949" w:rsidRDefault="00851EB8" w:rsidP="00C33101">
            <w:pPr>
              <w:jc w:val="left"/>
              <w:rPr>
                <w:rFonts w:eastAsia="Times New Roman"/>
                <w:szCs w:val="24"/>
                <w:lang w:val="en-GB" w:eastAsia="hr-HR"/>
              </w:rPr>
            </w:pPr>
            <w:r w:rsidRPr="00B67949">
              <w:rPr>
                <w:rFonts w:eastAsia="Times New Roman"/>
                <w:szCs w:val="24"/>
                <w:lang w:val="en-GB" w:eastAsia="hr-HR"/>
              </w:rPr>
              <w:t>Weight (kg)</w:t>
            </w:r>
          </w:p>
        </w:tc>
        <w:tc>
          <w:tcPr>
            <w:tcW w:w="952" w:type="pct"/>
            <w:tcBorders>
              <w:top w:val="single" w:sz="4" w:space="0" w:color="auto"/>
              <w:bottom w:val="nil"/>
            </w:tcBorders>
            <w:noWrap/>
            <w:vAlign w:val="center"/>
            <w:hideMark/>
          </w:tcPr>
          <w:p w14:paraId="1DED0045" w14:textId="251C598A" w:rsidR="00851EB8" w:rsidRPr="00B67949" w:rsidRDefault="00851EB8" w:rsidP="00C552F8">
            <w:pPr>
              <w:jc w:val="center"/>
              <w:rPr>
                <w:rFonts w:eastAsia="Times New Roman"/>
                <w:szCs w:val="24"/>
                <w:lang w:val="en-GB" w:eastAsia="hr-HR"/>
              </w:rPr>
            </w:pPr>
            <w:r w:rsidRPr="00B67949">
              <w:rPr>
                <w:rFonts w:eastAsia="Times New Roman"/>
                <w:szCs w:val="24"/>
                <w:lang w:val="en-GB" w:eastAsia="hr-HR"/>
              </w:rPr>
              <w:t>270.5 ± 20.</w:t>
            </w:r>
            <w:r w:rsidR="000F6EA9" w:rsidRPr="00B67949">
              <w:rPr>
                <w:rFonts w:eastAsia="Times New Roman"/>
                <w:szCs w:val="24"/>
                <w:lang w:val="en-GB" w:eastAsia="hr-HR"/>
              </w:rPr>
              <w:t>4</w:t>
            </w:r>
          </w:p>
        </w:tc>
        <w:tc>
          <w:tcPr>
            <w:tcW w:w="905" w:type="pct"/>
            <w:tcBorders>
              <w:top w:val="single" w:sz="4" w:space="0" w:color="auto"/>
              <w:bottom w:val="nil"/>
            </w:tcBorders>
            <w:noWrap/>
            <w:vAlign w:val="center"/>
            <w:hideMark/>
          </w:tcPr>
          <w:p w14:paraId="28302272" w14:textId="0806CAD5" w:rsidR="00851EB8" w:rsidRPr="00B67949" w:rsidRDefault="00851EB8" w:rsidP="00C552F8">
            <w:pPr>
              <w:jc w:val="center"/>
              <w:rPr>
                <w:rFonts w:eastAsia="Times New Roman"/>
                <w:szCs w:val="24"/>
                <w:lang w:val="en-GB" w:eastAsia="hr-HR"/>
              </w:rPr>
            </w:pPr>
            <w:r w:rsidRPr="00B67949">
              <w:rPr>
                <w:rFonts w:eastAsia="Times New Roman"/>
                <w:szCs w:val="24"/>
                <w:lang w:val="en-GB" w:eastAsia="hr-HR"/>
              </w:rPr>
              <w:t>262.8 ± 19.</w:t>
            </w:r>
            <w:r w:rsidR="000F6EA9" w:rsidRPr="00B67949">
              <w:rPr>
                <w:rFonts w:eastAsia="Times New Roman"/>
                <w:szCs w:val="24"/>
                <w:lang w:val="en-GB" w:eastAsia="hr-HR"/>
              </w:rPr>
              <w:t>3</w:t>
            </w:r>
          </w:p>
        </w:tc>
        <w:tc>
          <w:tcPr>
            <w:tcW w:w="1017" w:type="pct"/>
            <w:tcBorders>
              <w:top w:val="single" w:sz="4" w:space="0" w:color="auto"/>
              <w:bottom w:val="nil"/>
            </w:tcBorders>
            <w:noWrap/>
            <w:vAlign w:val="center"/>
            <w:hideMark/>
          </w:tcPr>
          <w:p w14:paraId="59A63EE9" w14:textId="2002E698" w:rsidR="00851EB8" w:rsidRPr="00B67949" w:rsidRDefault="00851EB8" w:rsidP="000F6EA9">
            <w:pPr>
              <w:jc w:val="center"/>
              <w:rPr>
                <w:rFonts w:eastAsia="Times New Roman"/>
                <w:szCs w:val="24"/>
                <w:lang w:val="en-GB" w:eastAsia="hr-HR"/>
              </w:rPr>
            </w:pPr>
            <w:r w:rsidRPr="00B67949">
              <w:rPr>
                <w:rFonts w:eastAsia="Times New Roman"/>
                <w:szCs w:val="24"/>
                <w:lang w:val="en-GB" w:eastAsia="hr-HR"/>
              </w:rPr>
              <w:t>274.1 ± 30.</w:t>
            </w:r>
            <w:r w:rsidR="000F6EA9" w:rsidRPr="00B67949">
              <w:rPr>
                <w:rFonts w:eastAsia="Times New Roman"/>
                <w:szCs w:val="24"/>
                <w:lang w:val="en-GB" w:eastAsia="hr-HR"/>
              </w:rPr>
              <w:t>5</w:t>
            </w:r>
          </w:p>
        </w:tc>
        <w:tc>
          <w:tcPr>
            <w:tcW w:w="696" w:type="pct"/>
            <w:tcBorders>
              <w:top w:val="single" w:sz="4" w:space="0" w:color="auto"/>
              <w:bottom w:val="nil"/>
            </w:tcBorders>
          </w:tcPr>
          <w:p w14:paraId="3739DA0F" w14:textId="399A3ADB" w:rsidR="00851EB8" w:rsidRPr="00B67949" w:rsidRDefault="003C32C8" w:rsidP="00424E7D">
            <w:pPr>
              <w:ind w:right="170"/>
              <w:jc w:val="right"/>
              <w:rPr>
                <w:rFonts w:eastAsia="Times New Roman"/>
                <w:szCs w:val="24"/>
                <w:lang w:val="en-GB" w:eastAsia="hr-HR"/>
              </w:rPr>
            </w:pPr>
            <w:r w:rsidRPr="00B67949">
              <w:rPr>
                <w:rFonts w:eastAsia="Times New Roman"/>
                <w:szCs w:val="24"/>
                <w:lang w:val="en-GB" w:eastAsia="hr-HR"/>
              </w:rPr>
              <w:t>-4.38</w:t>
            </w:r>
          </w:p>
        </w:tc>
      </w:tr>
      <w:tr w:rsidR="00851EB8" w:rsidRPr="00B67949" w14:paraId="434030E2" w14:textId="416F4A2A" w:rsidTr="000F6EA9">
        <w:trPr>
          <w:trHeight w:val="300"/>
        </w:trPr>
        <w:tc>
          <w:tcPr>
            <w:tcW w:w="239" w:type="pct"/>
            <w:vMerge/>
          </w:tcPr>
          <w:p w14:paraId="0ECC4F39" w14:textId="77777777" w:rsidR="00851EB8" w:rsidRPr="00B67949" w:rsidRDefault="00851EB8" w:rsidP="00851EB8">
            <w:pPr>
              <w:jc w:val="center"/>
              <w:rPr>
                <w:rFonts w:eastAsia="Times New Roman"/>
                <w:szCs w:val="24"/>
                <w:lang w:val="en-GB" w:eastAsia="hr-HR"/>
              </w:rPr>
            </w:pPr>
          </w:p>
        </w:tc>
        <w:tc>
          <w:tcPr>
            <w:tcW w:w="1191" w:type="pct"/>
            <w:tcBorders>
              <w:top w:val="nil"/>
            </w:tcBorders>
            <w:noWrap/>
            <w:vAlign w:val="center"/>
            <w:hideMark/>
          </w:tcPr>
          <w:p w14:paraId="1ED4A7C2" w14:textId="3B701DCB" w:rsidR="00851EB8" w:rsidRPr="00B67949" w:rsidRDefault="00665E95" w:rsidP="00665E95">
            <w:pPr>
              <w:jc w:val="left"/>
              <w:rPr>
                <w:rFonts w:eastAsia="Times New Roman"/>
                <w:szCs w:val="24"/>
                <w:lang w:val="en-GB" w:eastAsia="hr-HR"/>
              </w:rPr>
            </w:pPr>
            <w:r w:rsidRPr="00B67949">
              <w:rPr>
                <w:rFonts w:eastAsia="Times New Roman"/>
                <w:szCs w:val="24"/>
                <w:lang w:val="en-GB" w:eastAsia="hr-HR"/>
              </w:rPr>
              <w:t>Net d</w:t>
            </w:r>
            <w:r w:rsidR="00851EB8" w:rsidRPr="00B67949">
              <w:rPr>
                <w:rFonts w:eastAsia="Times New Roman"/>
                <w:szCs w:val="24"/>
                <w:lang w:val="en-GB" w:eastAsia="hr-HR"/>
              </w:rPr>
              <w:t>aily gain (g)</w:t>
            </w:r>
          </w:p>
        </w:tc>
        <w:tc>
          <w:tcPr>
            <w:tcW w:w="952" w:type="pct"/>
            <w:tcBorders>
              <w:top w:val="nil"/>
            </w:tcBorders>
            <w:noWrap/>
            <w:vAlign w:val="center"/>
            <w:hideMark/>
          </w:tcPr>
          <w:p w14:paraId="5F347CF0" w14:textId="00E703C7" w:rsidR="00851EB8" w:rsidRPr="00B67949" w:rsidRDefault="00851EB8" w:rsidP="000F6EA9">
            <w:pPr>
              <w:jc w:val="center"/>
              <w:rPr>
                <w:rFonts w:eastAsia="Times New Roman"/>
                <w:szCs w:val="24"/>
                <w:lang w:val="en-GB" w:eastAsia="hr-HR"/>
              </w:rPr>
            </w:pPr>
            <w:r w:rsidRPr="00B67949">
              <w:rPr>
                <w:rFonts w:eastAsia="Times New Roman"/>
                <w:szCs w:val="24"/>
                <w:lang w:val="en-GB" w:eastAsia="hr-HR"/>
              </w:rPr>
              <w:t>578.7 ± 46.</w:t>
            </w:r>
            <w:r w:rsidR="000F6EA9" w:rsidRPr="00B67949">
              <w:rPr>
                <w:rFonts w:eastAsia="Times New Roman"/>
                <w:szCs w:val="24"/>
                <w:lang w:val="en-GB" w:eastAsia="hr-HR"/>
              </w:rPr>
              <w:t>8</w:t>
            </w:r>
            <w:r w:rsidR="000F6EA9" w:rsidRPr="00B67949">
              <w:rPr>
                <w:rFonts w:eastAsia="Times New Roman"/>
                <w:szCs w:val="24"/>
                <w:vertAlign w:val="superscript"/>
                <w:lang w:val="en-GB" w:eastAsia="hr-HR"/>
              </w:rPr>
              <w:t>A</w:t>
            </w:r>
          </w:p>
        </w:tc>
        <w:tc>
          <w:tcPr>
            <w:tcW w:w="905" w:type="pct"/>
            <w:tcBorders>
              <w:top w:val="nil"/>
            </w:tcBorders>
            <w:noWrap/>
            <w:vAlign w:val="center"/>
            <w:hideMark/>
          </w:tcPr>
          <w:p w14:paraId="7BA9FD9E" w14:textId="3B3C445F"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567.8 ± 37.9</w:t>
            </w:r>
            <w:r w:rsidR="000F6EA9" w:rsidRPr="00B67949">
              <w:rPr>
                <w:rFonts w:eastAsia="Times New Roman"/>
                <w:szCs w:val="24"/>
                <w:vertAlign w:val="superscript"/>
                <w:lang w:val="en-GB" w:eastAsia="hr-HR"/>
              </w:rPr>
              <w:t>a</w:t>
            </w:r>
          </w:p>
        </w:tc>
        <w:tc>
          <w:tcPr>
            <w:tcW w:w="1017" w:type="pct"/>
            <w:tcBorders>
              <w:top w:val="nil"/>
            </w:tcBorders>
            <w:noWrap/>
            <w:vAlign w:val="center"/>
            <w:hideMark/>
          </w:tcPr>
          <w:p w14:paraId="43738EF5" w14:textId="369D4F3D" w:rsidR="00851EB8" w:rsidRPr="00B67949" w:rsidRDefault="00851EB8" w:rsidP="000F6EA9">
            <w:pPr>
              <w:jc w:val="center"/>
              <w:rPr>
                <w:rFonts w:eastAsia="Times New Roman"/>
                <w:szCs w:val="24"/>
                <w:lang w:val="en-GB" w:eastAsia="hr-HR"/>
              </w:rPr>
            </w:pPr>
            <w:r w:rsidRPr="00B67949">
              <w:rPr>
                <w:rFonts w:eastAsia="Times New Roman"/>
                <w:szCs w:val="24"/>
                <w:lang w:val="en-GB" w:eastAsia="hr-HR"/>
              </w:rPr>
              <w:t>623.2 ± 142.8</w:t>
            </w:r>
            <w:r w:rsidR="000F6EA9" w:rsidRPr="00B67949">
              <w:rPr>
                <w:rFonts w:eastAsia="Times New Roman"/>
                <w:szCs w:val="24"/>
                <w:vertAlign w:val="superscript"/>
                <w:lang w:val="en-GB" w:eastAsia="hr-HR"/>
              </w:rPr>
              <w:t>Bb</w:t>
            </w:r>
          </w:p>
        </w:tc>
        <w:tc>
          <w:tcPr>
            <w:tcW w:w="696" w:type="pct"/>
            <w:tcBorders>
              <w:top w:val="nil"/>
            </w:tcBorders>
          </w:tcPr>
          <w:p w14:paraId="657D097E" w14:textId="412560B3" w:rsidR="00851EB8" w:rsidRPr="00B67949" w:rsidRDefault="003C32C8" w:rsidP="00424E7D">
            <w:pPr>
              <w:ind w:right="170"/>
              <w:jc w:val="right"/>
              <w:rPr>
                <w:rFonts w:eastAsia="Times New Roman"/>
                <w:szCs w:val="24"/>
                <w:lang w:val="en-GB" w:eastAsia="hr-HR"/>
              </w:rPr>
            </w:pPr>
            <w:r w:rsidRPr="00B67949">
              <w:rPr>
                <w:rFonts w:eastAsia="Times New Roman"/>
                <w:szCs w:val="24"/>
                <w:lang w:val="en-GB" w:eastAsia="hr-HR"/>
              </w:rPr>
              <w:t>-8.09</w:t>
            </w:r>
          </w:p>
        </w:tc>
      </w:tr>
      <w:tr w:rsidR="00851EB8" w:rsidRPr="00B67949" w14:paraId="60A3502D" w14:textId="08E2179E" w:rsidTr="000F6EA9">
        <w:trPr>
          <w:trHeight w:val="300"/>
        </w:trPr>
        <w:tc>
          <w:tcPr>
            <w:tcW w:w="239" w:type="pct"/>
            <w:vMerge/>
          </w:tcPr>
          <w:p w14:paraId="7EF5E728" w14:textId="77777777" w:rsidR="00851EB8" w:rsidRPr="00B67949" w:rsidRDefault="00851EB8" w:rsidP="00851EB8">
            <w:pPr>
              <w:jc w:val="center"/>
              <w:rPr>
                <w:rFonts w:eastAsia="Times New Roman"/>
                <w:szCs w:val="24"/>
                <w:lang w:val="en-GB" w:eastAsia="hr-HR"/>
              </w:rPr>
            </w:pPr>
          </w:p>
        </w:tc>
        <w:tc>
          <w:tcPr>
            <w:tcW w:w="1191" w:type="pct"/>
            <w:noWrap/>
            <w:vAlign w:val="center"/>
            <w:hideMark/>
          </w:tcPr>
          <w:p w14:paraId="10A02CD0" w14:textId="4F07F2AE" w:rsidR="00851EB8" w:rsidRPr="00B67949" w:rsidRDefault="00851EB8" w:rsidP="00C33101">
            <w:pPr>
              <w:jc w:val="left"/>
              <w:rPr>
                <w:rFonts w:eastAsia="Times New Roman"/>
                <w:szCs w:val="24"/>
                <w:lang w:val="en-GB" w:eastAsia="hr-HR"/>
              </w:rPr>
            </w:pPr>
            <w:r w:rsidRPr="00B67949">
              <w:rPr>
                <w:rFonts w:eastAsia="Times New Roman"/>
                <w:szCs w:val="24"/>
                <w:lang w:val="en-GB" w:eastAsia="hr-HR"/>
              </w:rPr>
              <w:t>EUROP score (1-5)</w:t>
            </w:r>
          </w:p>
        </w:tc>
        <w:tc>
          <w:tcPr>
            <w:tcW w:w="952" w:type="pct"/>
            <w:noWrap/>
            <w:vAlign w:val="center"/>
            <w:hideMark/>
          </w:tcPr>
          <w:p w14:paraId="6BE3F1D0"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3.20 ± 0.41</w:t>
            </w:r>
          </w:p>
        </w:tc>
        <w:tc>
          <w:tcPr>
            <w:tcW w:w="905" w:type="pct"/>
            <w:noWrap/>
            <w:vAlign w:val="center"/>
            <w:hideMark/>
          </w:tcPr>
          <w:p w14:paraId="22C0B8FE"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3.30 ± 0.47</w:t>
            </w:r>
          </w:p>
        </w:tc>
        <w:tc>
          <w:tcPr>
            <w:tcW w:w="1017" w:type="pct"/>
            <w:noWrap/>
            <w:vAlign w:val="center"/>
            <w:hideMark/>
          </w:tcPr>
          <w:p w14:paraId="5685A8A3"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3.40 ± 0.55</w:t>
            </w:r>
          </w:p>
        </w:tc>
        <w:tc>
          <w:tcPr>
            <w:tcW w:w="696" w:type="pct"/>
          </w:tcPr>
          <w:p w14:paraId="64B0D101" w14:textId="3F84D0D6" w:rsidR="00851EB8" w:rsidRPr="00B67949" w:rsidRDefault="003C32C8" w:rsidP="00424E7D">
            <w:pPr>
              <w:ind w:right="170"/>
              <w:jc w:val="right"/>
              <w:rPr>
                <w:rFonts w:eastAsia="Times New Roman"/>
                <w:szCs w:val="24"/>
                <w:lang w:val="en-GB" w:eastAsia="hr-HR"/>
              </w:rPr>
            </w:pPr>
            <w:r w:rsidRPr="00B67949">
              <w:rPr>
                <w:rFonts w:eastAsia="Times New Roman"/>
                <w:szCs w:val="24"/>
                <w:lang w:val="en-GB" w:eastAsia="hr-HR"/>
              </w:rPr>
              <w:t>0.07</w:t>
            </w:r>
          </w:p>
        </w:tc>
      </w:tr>
      <w:tr w:rsidR="00851EB8" w:rsidRPr="00B67949" w14:paraId="4A1F386F" w14:textId="6E4EED93" w:rsidTr="000F6EA9">
        <w:trPr>
          <w:trHeight w:val="300"/>
        </w:trPr>
        <w:tc>
          <w:tcPr>
            <w:tcW w:w="239" w:type="pct"/>
            <w:vMerge/>
          </w:tcPr>
          <w:p w14:paraId="5574EDA6" w14:textId="77777777" w:rsidR="00851EB8" w:rsidRPr="00B67949" w:rsidRDefault="00851EB8" w:rsidP="00851EB8">
            <w:pPr>
              <w:jc w:val="center"/>
              <w:rPr>
                <w:rFonts w:eastAsia="Times New Roman"/>
                <w:szCs w:val="24"/>
                <w:lang w:val="en-GB" w:eastAsia="hr-HR"/>
              </w:rPr>
            </w:pPr>
          </w:p>
        </w:tc>
        <w:tc>
          <w:tcPr>
            <w:tcW w:w="1191" w:type="pct"/>
            <w:noWrap/>
            <w:vAlign w:val="center"/>
            <w:hideMark/>
          </w:tcPr>
          <w:p w14:paraId="7447BBD1" w14:textId="3AB1E397" w:rsidR="00851EB8" w:rsidRPr="00B67949" w:rsidRDefault="00851EB8" w:rsidP="00C33101">
            <w:pPr>
              <w:jc w:val="left"/>
              <w:rPr>
                <w:rFonts w:eastAsia="Times New Roman"/>
                <w:szCs w:val="24"/>
                <w:lang w:val="en-GB" w:eastAsia="hr-HR"/>
              </w:rPr>
            </w:pPr>
            <w:r w:rsidRPr="00B67949">
              <w:rPr>
                <w:rFonts w:eastAsia="Times New Roman"/>
                <w:szCs w:val="24"/>
                <w:lang w:val="en-GB" w:eastAsia="hr-HR"/>
              </w:rPr>
              <w:t>Fatness score (1-5)</w:t>
            </w:r>
          </w:p>
        </w:tc>
        <w:tc>
          <w:tcPr>
            <w:tcW w:w="952" w:type="pct"/>
            <w:noWrap/>
            <w:vAlign w:val="center"/>
            <w:hideMark/>
          </w:tcPr>
          <w:p w14:paraId="7EFD2939"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3.12 ± 0.45</w:t>
            </w:r>
          </w:p>
        </w:tc>
        <w:tc>
          <w:tcPr>
            <w:tcW w:w="905" w:type="pct"/>
            <w:noWrap/>
            <w:vAlign w:val="center"/>
            <w:hideMark/>
          </w:tcPr>
          <w:p w14:paraId="512369EA"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2.85 ± 0.59</w:t>
            </w:r>
          </w:p>
        </w:tc>
        <w:tc>
          <w:tcPr>
            <w:tcW w:w="1017" w:type="pct"/>
            <w:noWrap/>
            <w:vAlign w:val="center"/>
            <w:hideMark/>
          </w:tcPr>
          <w:p w14:paraId="56A319BC"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2.80 ± 0.45</w:t>
            </w:r>
          </w:p>
        </w:tc>
        <w:tc>
          <w:tcPr>
            <w:tcW w:w="696" w:type="pct"/>
          </w:tcPr>
          <w:p w14:paraId="64FD14EA" w14:textId="1472B75F" w:rsidR="00851EB8" w:rsidRPr="00B67949" w:rsidRDefault="003C32C8" w:rsidP="00424E7D">
            <w:pPr>
              <w:ind w:right="170"/>
              <w:jc w:val="right"/>
              <w:rPr>
                <w:rFonts w:eastAsia="Times New Roman"/>
                <w:szCs w:val="24"/>
                <w:lang w:val="en-GB" w:eastAsia="hr-HR"/>
              </w:rPr>
            </w:pPr>
            <w:r w:rsidRPr="00B67949">
              <w:rPr>
                <w:rFonts w:eastAsia="Times New Roman"/>
                <w:szCs w:val="24"/>
                <w:lang w:val="en-GB" w:eastAsia="hr-HR"/>
              </w:rPr>
              <w:t>-0.28</w:t>
            </w:r>
          </w:p>
        </w:tc>
      </w:tr>
      <w:tr w:rsidR="00851EB8" w:rsidRPr="00B67949" w14:paraId="4B5C9698" w14:textId="5C18403B" w:rsidTr="000F6EA9">
        <w:trPr>
          <w:trHeight w:val="300"/>
        </w:trPr>
        <w:tc>
          <w:tcPr>
            <w:tcW w:w="239" w:type="pct"/>
            <w:vMerge/>
            <w:textDirection w:val="btLr"/>
          </w:tcPr>
          <w:p w14:paraId="500A6589" w14:textId="4D9010A5" w:rsidR="00851EB8" w:rsidRPr="00B67949" w:rsidRDefault="00851EB8" w:rsidP="00851EB8">
            <w:pPr>
              <w:ind w:left="113" w:right="113"/>
              <w:jc w:val="center"/>
              <w:rPr>
                <w:rFonts w:eastAsia="Times New Roman"/>
                <w:szCs w:val="24"/>
                <w:lang w:val="en-GB" w:eastAsia="hr-HR"/>
              </w:rPr>
            </w:pPr>
          </w:p>
        </w:tc>
        <w:tc>
          <w:tcPr>
            <w:tcW w:w="1191" w:type="pct"/>
            <w:noWrap/>
            <w:vAlign w:val="center"/>
          </w:tcPr>
          <w:p w14:paraId="28C99B0F" w14:textId="684C19B4" w:rsidR="00851EB8" w:rsidRPr="00B67949" w:rsidRDefault="00851EB8" w:rsidP="00851EB8">
            <w:pPr>
              <w:jc w:val="left"/>
              <w:rPr>
                <w:rFonts w:eastAsia="Times New Roman"/>
                <w:szCs w:val="24"/>
                <w:lang w:val="en-GB" w:eastAsia="hr-HR"/>
              </w:rPr>
            </w:pPr>
            <w:r w:rsidRPr="00B67949">
              <w:rPr>
                <w:rFonts w:eastAsia="Times New Roman"/>
                <w:szCs w:val="24"/>
                <w:lang w:val="en-GB" w:eastAsia="hr-HR"/>
              </w:rPr>
              <w:t>Muscle tissue (%)</w:t>
            </w:r>
          </w:p>
        </w:tc>
        <w:tc>
          <w:tcPr>
            <w:tcW w:w="952" w:type="pct"/>
            <w:noWrap/>
            <w:vAlign w:val="center"/>
            <w:hideMark/>
          </w:tcPr>
          <w:p w14:paraId="594E5136" w14:textId="6C1CF91B" w:rsidR="00851EB8" w:rsidRPr="00B67949" w:rsidRDefault="00851EB8" w:rsidP="000F6EA9">
            <w:pPr>
              <w:jc w:val="center"/>
              <w:rPr>
                <w:rFonts w:eastAsia="Times New Roman"/>
                <w:szCs w:val="24"/>
                <w:lang w:val="en-GB" w:eastAsia="hr-HR"/>
              </w:rPr>
            </w:pPr>
            <w:r w:rsidRPr="00B67949">
              <w:rPr>
                <w:rFonts w:eastAsia="Times New Roman"/>
                <w:szCs w:val="24"/>
                <w:lang w:val="en-GB" w:eastAsia="hr-HR"/>
              </w:rPr>
              <w:t>61.42 ± 4.00</w:t>
            </w:r>
            <w:r w:rsidR="000F6EA9" w:rsidRPr="00B67949">
              <w:rPr>
                <w:rFonts w:eastAsia="Times New Roman"/>
                <w:szCs w:val="24"/>
                <w:vertAlign w:val="superscript"/>
                <w:lang w:val="en-GB" w:eastAsia="hr-HR"/>
              </w:rPr>
              <w:t>A</w:t>
            </w:r>
          </w:p>
        </w:tc>
        <w:tc>
          <w:tcPr>
            <w:tcW w:w="905" w:type="pct"/>
            <w:noWrap/>
            <w:vAlign w:val="center"/>
            <w:hideMark/>
          </w:tcPr>
          <w:p w14:paraId="2C8E5863" w14:textId="4BF5AE2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63.89 ± 3.18</w:t>
            </w:r>
          </w:p>
        </w:tc>
        <w:tc>
          <w:tcPr>
            <w:tcW w:w="1017" w:type="pct"/>
            <w:noWrap/>
            <w:vAlign w:val="center"/>
            <w:hideMark/>
          </w:tcPr>
          <w:p w14:paraId="6BE1AAA6" w14:textId="668CCB60" w:rsidR="00851EB8" w:rsidRPr="00B67949" w:rsidRDefault="00851EB8" w:rsidP="000F6EA9">
            <w:pPr>
              <w:jc w:val="center"/>
              <w:rPr>
                <w:rFonts w:eastAsia="Times New Roman"/>
                <w:szCs w:val="24"/>
                <w:lang w:val="en-GB" w:eastAsia="hr-HR"/>
              </w:rPr>
            </w:pPr>
            <w:r w:rsidRPr="00B67949">
              <w:rPr>
                <w:rFonts w:eastAsia="Times New Roman"/>
                <w:szCs w:val="24"/>
                <w:lang w:val="en-GB" w:eastAsia="hr-HR"/>
              </w:rPr>
              <w:t>66.35 ± 1.73</w:t>
            </w:r>
            <w:r w:rsidR="000F6EA9" w:rsidRPr="00B67949">
              <w:rPr>
                <w:rFonts w:eastAsia="Times New Roman"/>
                <w:szCs w:val="24"/>
                <w:vertAlign w:val="superscript"/>
                <w:lang w:val="en-GB" w:eastAsia="hr-HR"/>
              </w:rPr>
              <w:t>B</w:t>
            </w:r>
          </w:p>
        </w:tc>
        <w:tc>
          <w:tcPr>
            <w:tcW w:w="696" w:type="pct"/>
          </w:tcPr>
          <w:p w14:paraId="2964EE81" w14:textId="658E15F2" w:rsidR="00851EB8" w:rsidRPr="00B67949" w:rsidRDefault="003C32C8" w:rsidP="00424E7D">
            <w:pPr>
              <w:ind w:right="170"/>
              <w:jc w:val="right"/>
              <w:rPr>
                <w:rFonts w:eastAsia="Times New Roman"/>
                <w:szCs w:val="24"/>
                <w:lang w:val="en-GB" w:eastAsia="hr-HR"/>
              </w:rPr>
            </w:pPr>
            <w:r w:rsidRPr="00B67949">
              <w:rPr>
                <w:rFonts w:eastAsia="Times New Roman"/>
                <w:szCs w:val="24"/>
                <w:lang w:val="en-GB" w:eastAsia="hr-HR"/>
              </w:rPr>
              <w:t>2.85</w:t>
            </w:r>
            <w:r w:rsidR="001A20B6" w:rsidRPr="00B67949">
              <w:rPr>
                <w:rFonts w:eastAsia="Times New Roman"/>
                <w:szCs w:val="24"/>
                <w:vertAlign w:val="superscript"/>
                <w:lang w:val="en-GB" w:eastAsia="hr-HR"/>
              </w:rPr>
              <w:t>**</w:t>
            </w:r>
          </w:p>
        </w:tc>
      </w:tr>
      <w:tr w:rsidR="00851EB8" w:rsidRPr="00B67949" w14:paraId="284E513C" w14:textId="201E80E4" w:rsidTr="000F6EA9">
        <w:trPr>
          <w:trHeight w:val="300"/>
        </w:trPr>
        <w:tc>
          <w:tcPr>
            <w:tcW w:w="239" w:type="pct"/>
            <w:vMerge/>
          </w:tcPr>
          <w:p w14:paraId="4B5EE818" w14:textId="77777777" w:rsidR="00851EB8" w:rsidRPr="00B67949" w:rsidRDefault="00851EB8" w:rsidP="00851EB8">
            <w:pPr>
              <w:jc w:val="center"/>
              <w:rPr>
                <w:rFonts w:eastAsia="Times New Roman"/>
                <w:szCs w:val="24"/>
                <w:lang w:val="en-GB" w:eastAsia="hr-HR"/>
              </w:rPr>
            </w:pPr>
          </w:p>
        </w:tc>
        <w:tc>
          <w:tcPr>
            <w:tcW w:w="1191" w:type="pct"/>
            <w:noWrap/>
            <w:vAlign w:val="center"/>
            <w:hideMark/>
          </w:tcPr>
          <w:p w14:paraId="3A0A1B76" w14:textId="39E61921" w:rsidR="00851EB8" w:rsidRPr="00B67949" w:rsidRDefault="00851EB8" w:rsidP="00851EB8">
            <w:pPr>
              <w:jc w:val="left"/>
              <w:rPr>
                <w:rFonts w:eastAsia="Times New Roman"/>
                <w:szCs w:val="24"/>
                <w:lang w:val="en-GB" w:eastAsia="hr-HR"/>
              </w:rPr>
            </w:pPr>
            <w:r w:rsidRPr="00B67949">
              <w:rPr>
                <w:rFonts w:eastAsia="Times New Roman"/>
                <w:szCs w:val="24"/>
                <w:lang w:val="en-GB" w:eastAsia="hr-HR"/>
              </w:rPr>
              <w:t>Fat tissue (%)</w:t>
            </w:r>
          </w:p>
        </w:tc>
        <w:tc>
          <w:tcPr>
            <w:tcW w:w="952" w:type="pct"/>
            <w:noWrap/>
            <w:vAlign w:val="center"/>
            <w:hideMark/>
          </w:tcPr>
          <w:p w14:paraId="30CC5A54" w14:textId="391AF09C" w:rsidR="00851EB8" w:rsidRPr="00B67949" w:rsidRDefault="00851EB8" w:rsidP="000F6EA9">
            <w:pPr>
              <w:jc w:val="center"/>
              <w:rPr>
                <w:rFonts w:eastAsia="Times New Roman"/>
                <w:szCs w:val="24"/>
                <w:lang w:val="en-GB" w:eastAsia="hr-HR"/>
              </w:rPr>
            </w:pPr>
            <w:r w:rsidRPr="00B67949">
              <w:rPr>
                <w:rFonts w:eastAsia="Times New Roman"/>
                <w:szCs w:val="24"/>
                <w:lang w:val="en-GB" w:eastAsia="hr-HR"/>
              </w:rPr>
              <w:t>21.95 ± 3.50</w:t>
            </w:r>
            <w:r w:rsidR="000F6EA9" w:rsidRPr="00B67949">
              <w:rPr>
                <w:rFonts w:eastAsia="Times New Roman"/>
                <w:szCs w:val="24"/>
                <w:vertAlign w:val="superscript"/>
                <w:lang w:val="en-GB" w:eastAsia="hr-HR"/>
              </w:rPr>
              <w:t>aA</w:t>
            </w:r>
          </w:p>
        </w:tc>
        <w:tc>
          <w:tcPr>
            <w:tcW w:w="905" w:type="pct"/>
            <w:noWrap/>
            <w:vAlign w:val="center"/>
            <w:hideMark/>
          </w:tcPr>
          <w:p w14:paraId="2AB227E7" w14:textId="782C77CB" w:rsidR="00851EB8" w:rsidRPr="00B67949" w:rsidRDefault="00851EB8" w:rsidP="000F6EA9">
            <w:pPr>
              <w:jc w:val="center"/>
              <w:rPr>
                <w:rFonts w:eastAsia="Times New Roman"/>
                <w:szCs w:val="24"/>
                <w:lang w:val="en-GB" w:eastAsia="hr-HR"/>
              </w:rPr>
            </w:pPr>
            <w:r w:rsidRPr="00B67949">
              <w:rPr>
                <w:rFonts w:eastAsia="Times New Roman"/>
                <w:szCs w:val="24"/>
                <w:lang w:val="en-GB" w:eastAsia="hr-HR"/>
              </w:rPr>
              <w:t>19.35 ± 3.23</w:t>
            </w:r>
            <w:r w:rsidR="000F6EA9" w:rsidRPr="00B67949">
              <w:rPr>
                <w:rFonts w:eastAsia="Times New Roman"/>
                <w:szCs w:val="24"/>
                <w:vertAlign w:val="superscript"/>
                <w:lang w:val="en-GB" w:eastAsia="hr-HR"/>
              </w:rPr>
              <w:t>B</w:t>
            </w:r>
          </w:p>
        </w:tc>
        <w:tc>
          <w:tcPr>
            <w:tcW w:w="1017" w:type="pct"/>
            <w:noWrap/>
            <w:vAlign w:val="center"/>
            <w:hideMark/>
          </w:tcPr>
          <w:p w14:paraId="0FB1852A"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16.33 ± 0.80</w:t>
            </w:r>
            <w:r w:rsidRPr="00B67949">
              <w:rPr>
                <w:rFonts w:eastAsia="Times New Roman"/>
                <w:szCs w:val="24"/>
                <w:vertAlign w:val="superscript"/>
                <w:lang w:val="en-GB" w:eastAsia="hr-HR"/>
              </w:rPr>
              <w:t>b</w:t>
            </w:r>
          </w:p>
        </w:tc>
        <w:tc>
          <w:tcPr>
            <w:tcW w:w="696" w:type="pct"/>
          </w:tcPr>
          <w:p w14:paraId="4D435CE1" w14:textId="4C7E146F" w:rsidR="00851EB8" w:rsidRPr="00B67949" w:rsidRDefault="001A20B6" w:rsidP="003C32C8">
            <w:pPr>
              <w:ind w:right="170"/>
              <w:jc w:val="right"/>
              <w:rPr>
                <w:rFonts w:eastAsia="Times New Roman"/>
                <w:szCs w:val="24"/>
                <w:lang w:val="en-GB" w:eastAsia="hr-HR"/>
              </w:rPr>
            </w:pPr>
            <w:r w:rsidRPr="00B67949">
              <w:rPr>
                <w:rFonts w:eastAsia="Times New Roman"/>
                <w:szCs w:val="24"/>
                <w:lang w:val="en-GB" w:eastAsia="hr-HR"/>
              </w:rPr>
              <w:t>-2.8</w:t>
            </w:r>
            <w:r w:rsidR="003C32C8" w:rsidRPr="00B67949">
              <w:rPr>
                <w:rFonts w:eastAsia="Times New Roman"/>
                <w:szCs w:val="24"/>
                <w:lang w:val="en-GB" w:eastAsia="hr-HR"/>
              </w:rPr>
              <w:t>5</w:t>
            </w:r>
            <w:r w:rsidRPr="00B67949">
              <w:rPr>
                <w:rFonts w:eastAsia="Times New Roman"/>
                <w:szCs w:val="24"/>
                <w:vertAlign w:val="superscript"/>
                <w:lang w:val="en-GB" w:eastAsia="hr-HR"/>
              </w:rPr>
              <w:t>**</w:t>
            </w:r>
          </w:p>
        </w:tc>
      </w:tr>
      <w:tr w:rsidR="00851EB8" w:rsidRPr="00B67949" w14:paraId="462F102E" w14:textId="2C4F0A77" w:rsidTr="000F6EA9">
        <w:trPr>
          <w:trHeight w:val="300"/>
        </w:trPr>
        <w:tc>
          <w:tcPr>
            <w:tcW w:w="239" w:type="pct"/>
            <w:vMerge/>
            <w:tcBorders>
              <w:bottom w:val="dotted" w:sz="4" w:space="0" w:color="auto"/>
            </w:tcBorders>
          </w:tcPr>
          <w:p w14:paraId="3A29B6B9" w14:textId="77777777" w:rsidR="00851EB8" w:rsidRPr="00B67949" w:rsidRDefault="00851EB8" w:rsidP="00851EB8">
            <w:pPr>
              <w:jc w:val="center"/>
              <w:rPr>
                <w:rFonts w:eastAsia="Times New Roman"/>
                <w:szCs w:val="24"/>
                <w:lang w:val="en-GB" w:eastAsia="hr-HR"/>
              </w:rPr>
            </w:pPr>
          </w:p>
        </w:tc>
        <w:tc>
          <w:tcPr>
            <w:tcW w:w="1191" w:type="pct"/>
            <w:tcBorders>
              <w:bottom w:val="dotted" w:sz="4" w:space="0" w:color="auto"/>
            </w:tcBorders>
            <w:noWrap/>
            <w:vAlign w:val="center"/>
            <w:hideMark/>
          </w:tcPr>
          <w:p w14:paraId="5F8F2E61" w14:textId="12FACA25" w:rsidR="00851EB8" w:rsidRPr="00B67949" w:rsidRDefault="00851EB8" w:rsidP="00851EB8">
            <w:pPr>
              <w:jc w:val="left"/>
              <w:rPr>
                <w:rFonts w:eastAsia="Times New Roman"/>
                <w:szCs w:val="24"/>
                <w:lang w:val="en-GB" w:eastAsia="hr-HR"/>
              </w:rPr>
            </w:pPr>
            <w:r w:rsidRPr="00B67949">
              <w:rPr>
                <w:rFonts w:eastAsia="Times New Roman"/>
                <w:szCs w:val="24"/>
                <w:lang w:val="en-GB" w:eastAsia="hr-HR"/>
              </w:rPr>
              <w:t xml:space="preserve">Bone </w:t>
            </w:r>
            <w:proofErr w:type="spellStart"/>
            <w:r w:rsidRPr="00B67949">
              <w:rPr>
                <w:rFonts w:eastAsia="Times New Roman"/>
                <w:szCs w:val="24"/>
                <w:lang w:val="en-GB" w:eastAsia="hr-HR"/>
              </w:rPr>
              <w:t>tisue</w:t>
            </w:r>
            <w:proofErr w:type="spellEnd"/>
            <w:r w:rsidRPr="00B67949">
              <w:rPr>
                <w:rFonts w:eastAsia="Times New Roman"/>
                <w:szCs w:val="24"/>
                <w:lang w:val="en-GB" w:eastAsia="hr-HR"/>
              </w:rPr>
              <w:t xml:space="preserve"> (%)</w:t>
            </w:r>
          </w:p>
        </w:tc>
        <w:tc>
          <w:tcPr>
            <w:tcW w:w="952" w:type="pct"/>
            <w:tcBorders>
              <w:bottom w:val="dotted" w:sz="4" w:space="0" w:color="auto"/>
            </w:tcBorders>
            <w:noWrap/>
            <w:vAlign w:val="center"/>
            <w:hideMark/>
          </w:tcPr>
          <w:p w14:paraId="12F3394D"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16.63 ± 2.18</w:t>
            </w:r>
          </w:p>
        </w:tc>
        <w:tc>
          <w:tcPr>
            <w:tcW w:w="905" w:type="pct"/>
            <w:tcBorders>
              <w:bottom w:val="dotted" w:sz="4" w:space="0" w:color="auto"/>
            </w:tcBorders>
            <w:noWrap/>
            <w:vAlign w:val="center"/>
            <w:hideMark/>
          </w:tcPr>
          <w:p w14:paraId="17E9EE55"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16.76 ± 1.56</w:t>
            </w:r>
          </w:p>
        </w:tc>
        <w:tc>
          <w:tcPr>
            <w:tcW w:w="1017" w:type="pct"/>
            <w:tcBorders>
              <w:bottom w:val="dotted" w:sz="4" w:space="0" w:color="auto"/>
            </w:tcBorders>
            <w:noWrap/>
            <w:vAlign w:val="center"/>
            <w:hideMark/>
          </w:tcPr>
          <w:p w14:paraId="0468DE91" w14:textId="77777777" w:rsidR="00851EB8" w:rsidRPr="00B67949" w:rsidRDefault="00851EB8" w:rsidP="00C33101">
            <w:pPr>
              <w:jc w:val="center"/>
              <w:rPr>
                <w:rFonts w:eastAsia="Times New Roman"/>
                <w:szCs w:val="24"/>
                <w:lang w:val="en-GB" w:eastAsia="hr-HR"/>
              </w:rPr>
            </w:pPr>
            <w:r w:rsidRPr="00B67949">
              <w:rPr>
                <w:rFonts w:eastAsia="Times New Roman"/>
                <w:szCs w:val="24"/>
                <w:lang w:val="en-GB" w:eastAsia="hr-HR"/>
              </w:rPr>
              <w:t>17.32 ± 1.79</w:t>
            </w:r>
          </w:p>
        </w:tc>
        <w:tc>
          <w:tcPr>
            <w:tcW w:w="696" w:type="pct"/>
            <w:tcBorders>
              <w:bottom w:val="dotted" w:sz="4" w:space="0" w:color="auto"/>
            </w:tcBorders>
          </w:tcPr>
          <w:p w14:paraId="6F515231" w14:textId="365FDA76" w:rsidR="00851EB8" w:rsidRPr="00B67949" w:rsidRDefault="001A20B6" w:rsidP="00424E7D">
            <w:pPr>
              <w:ind w:right="170"/>
              <w:jc w:val="right"/>
              <w:rPr>
                <w:rFonts w:eastAsia="Times New Roman"/>
                <w:szCs w:val="24"/>
                <w:lang w:val="en-GB" w:eastAsia="hr-HR"/>
              </w:rPr>
            </w:pPr>
            <w:r w:rsidRPr="00B67949">
              <w:rPr>
                <w:rFonts w:eastAsia="Times New Roman"/>
                <w:szCs w:val="24"/>
                <w:lang w:val="en-GB" w:eastAsia="hr-HR"/>
              </w:rPr>
              <w:t>0.003</w:t>
            </w:r>
          </w:p>
        </w:tc>
      </w:tr>
      <w:tr w:rsidR="00851EB8" w:rsidRPr="00B67949" w14:paraId="6D7B62F1" w14:textId="1DCB0F46" w:rsidTr="000F6EA9">
        <w:trPr>
          <w:trHeight w:val="300"/>
        </w:trPr>
        <w:tc>
          <w:tcPr>
            <w:tcW w:w="239" w:type="pct"/>
            <w:vMerge w:val="restart"/>
            <w:tcBorders>
              <w:top w:val="dotted" w:sz="4" w:space="0" w:color="auto"/>
              <w:bottom w:val="nil"/>
            </w:tcBorders>
            <w:textDirection w:val="btLr"/>
          </w:tcPr>
          <w:p w14:paraId="3CB0C292" w14:textId="64083C0A" w:rsidR="00851EB8" w:rsidRPr="00B67949" w:rsidRDefault="00851EB8" w:rsidP="00851EB8">
            <w:pPr>
              <w:ind w:left="113" w:right="113"/>
              <w:jc w:val="center"/>
              <w:rPr>
                <w:rFonts w:eastAsia="Times New Roman"/>
                <w:szCs w:val="24"/>
                <w:lang w:val="en-GB" w:eastAsia="hr-HR"/>
              </w:rPr>
            </w:pPr>
            <w:r w:rsidRPr="00B67949">
              <w:rPr>
                <w:rFonts w:eastAsia="Times New Roman"/>
                <w:szCs w:val="24"/>
                <w:lang w:val="en-GB" w:eastAsia="hr-HR"/>
              </w:rPr>
              <w:t>In MLD</w:t>
            </w:r>
          </w:p>
        </w:tc>
        <w:tc>
          <w:tcPr>
            <w:tcW w:w="1191" w:type="pct"/>
            <w:tcBorders>
              <w:top w:val="dotted" w:sz="4" w:space="0" w:color="auto"/>
              <w:bottom w:val="nil"/>
            </w:tcBorders>
            <w:noWrap/>
            <w:vAlign w:val="center"/>
            <w:hideMark/>
          </w:tcPr>
          <w:p w14:paraId="42B445DE" w14:textId="74AFF4B8" w:rsidR="00851EB8" w:rsidRPr="00B67949" w:rsidRDefault="00851EB8" w:rsidP="00D22E8C">
            <w:pPr>
              <w:jc w:val="left"/>
              <w:rPr>
                <w:rFonts w:eastAsia="Times New Roman"/>
                <w:szCs w:val="24"/>
                <w:lang w:val="en-GB" w:eastAsia="hr-HR"/>
              </w:rPr>
            </w:pPr>
            <w:r w:rsidRPr="00B67949">
              <w:rPr>
                <w:rFonts w:eastAsia="Times New Roman"/>
                <w:szCs w:val="24"/>
                <w:lang w:val="en-GB" w:eastAsia="hr-HR"/>
              </w:rPr>
              <w:t>Protein (%)</w:t>
            </w:r>
          </w:p>
        </w:tc>
        <w:tc>
          <w:tcPr>
            <w:tcW w:w="952" w:type="pct"/>
            <w:tcBorders>
              <w:top w:val="dotted" w:sz="4" w:space="0" w:color="auto"/>
              <w:bottom w:val="nil"/>
            </w:tcBorders>
            <w:noWrap/>
            <w:vAlign w:val="center"/>
            <w:hideMark/>
          </w:tcPr>
          <w:p w14:paraId="18E9233D" w14:textId="77777777" w:rsidR="00851EB8" w:rsidRPr="00B67949" w:rsidRDefault="00851EB8" w:rsidP="00D22E8C">
            <w:pPr>
              <w:jc w:val="center"/>
              <w:rPr>
                <w:rFonts w:eastAsia="Times New Roman"/>
                <w:szCs w:val="24"/>
                <w:lang w:val="en-GB" w:eastAsia="hr-HR"/>
              </w:rPr>
            </w:pPr>
            <w:r w:rsidRPr="00B67949">
              <w:rPr>
                <w:rFonts w:eastAsia="Times New Roman"/>
                <w:szCs w:val="24"/>
                <w:lang w:val="en-GB" w:eastAsia="hr-HR"/>
              </w:rPr>
              <w:t>21.95 ± 1.00</w:t>
            </w:r>
          </w:p>
        </w:tc>
        <w:tc>
          <w:tcPr>
            <w:tcW w:w="905" w:type="pct"/>
            <w:tcBorders>
              <w:top w:val="dotted" w:sz="4" w:space="0" w:color="auto"/>
              <w:bottom w:val="nil"/>
            </w:tcBorders>
            <w:noWrap/>
            <w:vAlign w:val="center"/>
            <w:hideMark/>
          </w:tcPr>
          <w:p w14:paraId="42F9A531" w14:textId="77777777" w:rsidR="00851EB8" w:rsidRPr="00B67949" w:rsidRDefault="00851EB8" w:rsidP="00D22E8C">
            <w:pPr>
              <w:jc w:val="center"/>
              <w:rPr>
                <w:rFonts w:eastAsia="Times New Roman"/>
                <w:szCs w:val="24"/>
                <w:lang w:val="en-GB" w:eastAsia="hr-HR"/>
              </w:rPr>
            </w:pPr>
            <w:r w:rsidRPr="00B67949">
              <w:rPr>
                <w:rFonts w:eastAsia="Times New Roman"/>
                <w:szCs w:val="24"/>
                <w:lang w:val="en-GB" w:eastAsia="hr-HR"/>
              </w:rPr>
              <w:t>22.11 ± 1.35</w:t>
            </w:r>
          </w:p>
        </w:tc>
        <w:tc>
          <w:tcPr>
            <w:tcW w:w="1017" w:type="pct"/>
            <w:tcBorders>
              <w:top w:val="dotted" w:sz="4" w:space="0" w:color="auto"/>
              <w:bottom w:val="nil"/>
            </w:tcBorders>
            <w:noWrap/>
            <w:vAlign w:val="center"/>
            <w:hideMark/>
          </w:tcPr>
          <w:p w14:paraId="7E430DF5" w14:textId="77777777" w:rsidR="00851EB8" w:rsidRPr="00B67949" w:rsidRDefault="00851EB8" w:rsidP="00D22E8C">
            <w:pPr>
              <w:jc w:val="center"/>
              <w:rPr>
                <w:rFonts w:eastAsia="Times New Roman"/>
                <w:szCs w:val="24"/>
                <w:lang w:val="en-GB" w:eastAsia="hr-HR"/>
              </w:rPr>
            </w:pPr>
            <w:r w:rsidRPr="00B67949">
              <w:rPr>
                <w:rFonts w:eastAsia="Times New Roman"/>
                <w:szCs w:val="24"/>
                <w:lang w:val="en-GB" w:eastAsia="hr-HR"/>
              </w:rPr>
              <w:t>21.24 ± 2.76</w:t>
            </w:r>
          </w:p>
        </w:tc>
        <w:tc>
          <w:tcPr>
            <w:tcW w:w="696" w:type="pct"/>
            <w:tcBorders>
              <w:top w:val="dotted" w:sz="4" w:space="0" w:color="auto"/>
              <w:bottom w:val="nil"/>
            </w:tcBorders>
          </w:tcPr>
          <w:p w14:paraId="1215B272" w14:textId="3BB7F23A" w:rsidR="00851EB8" w:rsidRPr="00B67949" w:rsidRDefault="003C32C8" w:rsidP="00424E7D">
            <w:pPr>
              <w:ind w:right="170"/>
              <w:jc w:val="right"/>
              <w:rPr>
                <w:rFonts w:eastAsia="Times New Roman"/>
                <w:szCs w:val="24"/>
                <w:lang w:val="en-GB" w:eastAsia="hr-HR"/>
              </w:rPr>
            </w:pPr>
            <w:r w:rsidRPr="00B67949">
              <w:rPr>
                <w:rFonts w:eastAsia="Times New Roman"/>
                <w:szCs w:val="24"/>
                <w:lang w:val="en-GB" w:eastAsia="hr-HR"/>
              </w:rPr>
              <w:t>0.10</w:t>
            </w:r>
          </w:p>
        </w:tc>
      </w:tr>
      <w:tr w:rsidR="000F6EA9" w:rsidRPr="00B67949" w14:paraId="3B37D002" w14:textId="656B73DD" w:rsidTr="000F6EA9">
        <w:trPr>
          <w:trHeight w:val="300"/>
        </w:trPr>
        <w:tc>
          <w:tcPr>
            <w:tcW w:w="239" w:type="pct"/>
            <w:vMerge/>
            <w:tcBorders>
              <w:top w:val="nil"/>
            </w:tcBorders>
          </w:tcPr>
          <w:p w14:paraId="7FC40BED" w14:textId="77777777" w:rsidR="00851EB8" w:rsidRPr="00B67949" w:rsidRDefault="00851EB8" w:rsidP="002A1E7B">
            <w:pPr>
              <w:jc w:val="left"/>
              <w:rPr>
                <w:rFonts w:eastAsia="Times New Roman"/>
                <w:szCs w:val="24"/>
                <w:lang w:val="en-GB" w:eastAsia="hr-HR"/>
              </w:rPr>
            </w:pPr>
          </w:p>
        </w:tc>
        <w:tc>
          <w:tcPr>
            <w:tcW w:w="1191" w:type="pct"/>
            <w:tcBorders>
              <w:top w:val="nil"/>
            </w:tcBorders>
            <w:noWrap/>
            <w:vAlign w:val="center"/>
            <w:hideMark/>
          </w:tcPr>
          <w:p w14:paraId="4D9747FE" w14:textId="0E9E07E8" w:rsidR="00851EB8" w:rsidRPr="00B67949" w:rsidRDefault="00851EB8" w:rsidP="002A1E7B">
            <w:pPr>
              <w:jc w:val="left"/>
              <w:rPr>
                <w:rFonts w:eastAsia="Times New Roman"/>
                <w:szCs w:val="24"/>
                <w:lang w:val="en-GB" w:eastAsia="hr-HR"/>
              </w:rPr>
            </w:pPr>
            <w:r w:rsidRPr="00B67949">
              <w:rPr>
                <w:rFonts w:eastAsia="Times New Roman"/>
                <w:szCs w:val="24"/>
                <w:lang w:val="en-GB" w:eastAsia="hr-HR"/>
              </w:rPr>
              <w:t>Fat (%)</w:t>
            </w:r>
          </w:p>
        </w:tc>
        <w:tc>
          <w:tcPr>
            <w:tcW w:w="952" w:type="pct"/>
            <w:tcBorders>
              <w:top w:val="nil"/>
            </w:tcBorders>
            <w:noWrap/>
            <w:vAlign w:val="center"/>
            <w:hideMark/>
          </w:tcPr>
          <w:p w14:paraId="3FB1B629" w14:textId="77777777" w:rsidR="00851EB8" w:rsidRPr="00B67949" w:rsidRDefault="00851EB8" w:rsidP="002A1E7B">
            <w:pPr>
              <w:jc w:val="center"/>
              <w:rPr>
                <w:rFonts w:eastAsia="Times New Roman"/>
                <w:szCs w:val="24"/>
                <w:lang w:val="en-GB" w:eastAsia="hr-HR"/>
              </w:rPr>
            </w:pPr>
            <w:r w:rsidRPr="00B67949">
              <w:rPr>
                <w:rFonts w:eastAsia="Times New Roman"/>
                <w:szCs w:val="24"/>
                <w:lang w:val="en-GB" w:eastAsia="hr-HR"/>
              </w:rPr>
              <w:t>3.36 ± 1.22</w:t>
            </w:r>
          </w:p>
        </w:tc>
        <w:tc>
          <w:tcPr>
            <w:tcW w:w="905" w:type="pct"/>
            <w:tcBorders>
              <w:top w:val="nil"/>
            </w:tcBorders>
            <w:noWrap/>
            <w:vAlign w:val="center"/>
            <w:hideMark/>
          </w:tcPr>
          <w:p w14:paraId="1FA62966" w14:textId="77777777" w:rsidR="00851EB8" w:rsidRPr="00B67949" w:rsidRDefault="00851EB8" w:rsidP="002A1E7B">
            <w:pPr>
              <w:jc w:val="center"/>
              <w:rPr>
                <w:rFonts w:eastAsia="Times New Roman"/>
                <w:szCs w:val="24"/>
                <w:lang w:val="en-GB" w:eastAsia="hr-HR"/>
              </w:rPr>
            </w:pPr>
            <w:r w:rsidRPr="00B67949">
              <w:rPr>
                <w:rFonts w:eastAsia="Times New Roman"/>
                <w:szCs w:val="24"/>
                <w:lang w:val="en-GB" w:eastAsia="hr-HR"/>
              </w:rPr>
              <w:t>3.44 ± 1.99</w:t>
            </w:r>
          </w:p>
        </w:tc>
        <w:tc>
          <w:tcPr>
            <w:tcW w:w="1017" w:type="pct"/>
            <w:tcBorders>
              <w:top w:val="nil"/>
            </w:tcBorders>
            <w:noWrap/>
            <w:vAlign w:val="center"/>
            <w:hideMark/>
          </w:tcPr>
          <w:p w14:paraId="448EF41D" w14:textId="77777777" w:rsidR="00851EB8" w:rsidRPr="00B67949" w:rsidRDefault="00851EB8" w:rsidP="002A1E7B">
            <w:pPr>
              <w:jc w:val="center"/>
              <w:rPr>
                <w:rFonts w:eastAsia="Times New Roman"/>
                <w:szCs w:val="24"/>
                <w:lang w:val="en-GB" w:eastAsia="hr-HR"/>
              </w:rPr>
            </w:pPr>
            <w:r w:rsidRPr="00B67949">
              <w:rPr>
                <w:rFonts w:eastAsia="Times New Roman"/>
                <w:szCs w:val="24"/>
                <w:lang w:val="en-GB" w:eastAsia="hr-HR"/>
              </w:rPr>
              <w:t>1.82 ± 0.68</w:t>
            </w:r>
          </w:p>
        </w:tc>
        <w:tc>
          <w:tcPr>
            <w:tcW w:w="696" w:type="pct"/>
            <w:tcBorders>
              <w:top w:val="nil"/>
            </w:tcBorders>
          </w:tcPr>
          <w:p w14:paraId="6648C4D1" w14:textId="17D4C3B8" w:rsidR="00851EB8" w:rsidRPr="00B67949" w:rsidRDefault="003C32C8" w:rsidP="00424E7D">
            <w:pPr>
              <w:ind w:right="170"/>
              <w:jc w:val="right"/>
              <w:rPr>
                <w:rFonts w:eastAsia="Times New Roman"/>
                <w:szCs w:val="24"/>
                <w:lang w:val="en-GB" w:eastAsia="hr-HR"/>
              </w:rPr>
            </w:pPr>
            <w:r w:rsidRPr="00B67949">
              <w:rPr>
                <w:rFonts w:eastAsia="Times New Roman"/>
                <w:szCs w:val="24"/>
                <w:lang w:val="en-GB" w:eastAsia="hr-HR"/>
              </w:rPr>
              <w:t>-0.41</w:t>
            </w:r>
          </w:p>
        </w:tc>
      </w:tr>
      <w:tr w:rsidR="000F6EA9" w:rsidRPr="00B67949" w14:paraId="3C936BA9" w14:textId="10B37679" w:rsidTr="000F6EA9">
        <w:trPr>
          <w:trHeight w:val="300"/>
        </w:trPr>
        <w:tc>
          <w:tcPr>
            <w:tcW w:w="239" w:type="pct"/>
            <w:vMerge/>
          </w:tcPr>
          <w:p w14:paraId="73501C37" w14:textId="77777777" w:rsidR="00851EB8" w:rsidRPr="00B67949" w:rsidRDefault="00851EB8" w:rsidP="00F24419">
            <w:pPr>
              <w:jc w:val="left"/>
              <w:rPr>
                <w:rFonts w:eastAsia="Times New Roman"/>
                <w:szCs w:val="24"/>
                <w:lang w:val="en-GB" w:eastAsia="hr-HR"/>
              </w:rPr>
            </w:pPr>
          </w:p>
        </w:tc>
        <w:tc>
          <w:tcPr>
            <w:tcW w:w="1191" w:type="pct"/>
            <w:noWrap/>
            <w:vAlign w:val="center"/>
            <w:hideMark/>
          </w:tcPr>
          <w:p w14:paraId="622AA5E0" w14:textId="6747A784" w:rsidR="00851EB8" w:rsidRPr="00B67949" w:rsidRDefault="00851EB8" w:rsidP="00F24419">
            <w:pPr>
              <w:jc w:val="left"/>
              <w:rPr>
                <w:rFonts w:eastAsia="Times New Roman"/>
                <w:szCs w:val="24"/>
                <w:lang w:val="en-GB" w:eastAsia="hr-HR"/>
              </w:rPr>
            </w:pPr>
            <w:r w:rsidRPr="00B67949">
              <w:rPr>
                <w:rFonts w:eastAsia="Times New Roman"/>
                <w:szCs w:val="24"/>
                <w:lang w:val="en-GB" w:eastAsia="hr-HR"/>
              </w:rPr>
              <w:t>Collagen (%)</w:t>
            </w:r>
          </w:p>
        </w:tc>
        <w:tc>
          <w:tcPr>
            <w:tcW w:w="952" w:type="pct"/>
            <w:noWrap/>
            <w:vAlign w:val="center"/>
            <w:hideMark/>
          </w:tcPr>
          <w:p w14:paraId="192A6C1A" w14:textId="174DFC6D" w:rsidR="00851EB8" w:rsidRPr="00B67949" w:rsidRDefault="00851EB8" w:rsidP="00F24419">
            <w:pPr>
              <w:jc w:val="center"/>
              <w:rPr>
                <w:rFonts w:eastAsia="Times New Roman"/>
                <w:szCs w:val="24"/>
                <w:lang w:val="en-GB" w:eastAsia="hr-HR"/>
              </w:rPr>
            </w:pPr>
            <w:r w:rsidRPr="00B67949">
              <w:rPr>
                <w:rFonts w:eastAsia="Times New Roman"/>
                <w:szCs w:val="24"/>
                <w:lang w:val="en-GB" w:eastAsia="hr-HR"/>
              </w:rPr>
              <w:t>1.36 ± 0.10</w:t>
            </w:r>
          </w:p>
        </w:tc>
        <w:tc>
          <w:tcPr>
            <w:tcW w:w="905" w:type="pct"/>
            <w:noWrap/>
            <w:vAlign w:val="center"/>
            <w:hideMark/>
          </w:tcPr>
          <w:p w14:paraId="0B81E03D" w14:textId="25D9B153" w:rsidR="00851EB8" w:rsidRPr="00B67949" w:rsidRDefault="00851EB8" w:rsidP="00F24419">
            <w:pPr>
              <w:jc w:val="center"/>
              <w:rPr>
                <w:rFonts w:eastAsia="Times New Roman"/>
                <w:szCs w:val="24"/>
                <w:lang w:val="en-GB" w:eastAsia="hr-HR"/>
              </w:rPr>
            </w:pPr>
            <w:r w:rsidRPr="00B67949">
              <w:rPr>
                <w:rFonts w:eastAsia="Times New Roman"/>
                <w:szCs w:val="24"/>
                <w:lang w:val="en-GB" w:eastAsia="hr-HR"/>
              </w:rPr>
              <w:t>1.45 ± 0.17</w:t>
            </w:r>
          </w:p>
        </w:tc>
        <w:tc>
          <w:tcPr>
            <w:tcW w:w="1017" w:type="pct"/>
            <w:noWrap/>
            <w:vAlign w:val="center"/>
            <w:hideMark/>
          </w:tcPr>
          <w:p w14:paraId="10843FE2" w14:textId="2B747AD2" w:rsidR="00851EB8" w:rsidRPr="00B67949" w:rsidRDefault="00851EB8" w:rsidP="00F24419">
            <w:pPr>
              <w:jc w:val="center"/>
              <w:rPr>
                <w:rFonts w:eastAsia="Times New Roman"/>
                <w:szCs w:val="24"/>
                <w:lang w:val="en-GB" w:eastAsia="hr-HR"/>
              </w:rPr>
            </w:pPr>
            <w:r w:rsidRPr="00B67949">
              <w:rPr>
                <w:rFonts w:eastAsia="Times New Roman"/>
                <w:szCs w:val="24"/>
                <w:lang w:val="en-GB" w:eastAsia="hr-HR"/>
              </w:rPr>
              <w:t>1.51 ± 0.15</w:t>
            </w:r>
          </w:p>
        </w:tc>
        <w:tc>
          <w:tcPr>
            <w:tcW w:w="696" w:type="pct"/>
          </w:tcPr>
          <w:p w14:paraId="4FD4ACB0" w14:textId="4A99B055" w:rsidR="00851EB8" w:rsidRPr="00B67949" w:rsidRDefault="003C32C8" w:rsidP="00424E7D">
            <w:pPr>
              <w:ind w:right="170"/>
              <w:jc w:val="right"/>
              <w:rPr>
                <w:rFonts w:eastAsia="Times New Roman"/>
                <w:szCs w:val="24"/>
                <w:lang w:val="en-GB" w:eastAsia="hr-HR"/>
              </w:rPr>
            </w:pPr>
            <w:r w:rsidRPr="00B67949">
              <w:rPr>
                <w:rFonts w:eastAsia="Times New Roman"/>
                <w:szCs w:val="24"/>
                <w:lang w:val="en-GB" w:eastAsia="hr-HR"/>
              </w:rPr>
              <w:t>0.09</w:t>
            </w:r>
            <w:r w:rsidR="00541AC4" w:rsidRPr="00B67949">
              <w:rPr>
                <w:rFonts w:eastAsia="Times New Roman"/>
                <w:szCs w:val="24"/>
                <w:vertAlign w:val="superscript"/>
                <w:lang w:val="en-GB" w:eastAsia="hr-HR"/>
              </w:rPr>
              <w:t>*</w:t>
            </w:r>
          </w:p>
        </w:tc>
      </w:tr>
      <w:tr w:rsidR="000F6EA9" w:rsidRPr="00B67949" w14:paraId="29C2E187" w14:textId="2CF1C6A3" w:rsidTr="000F6EA9">
        <w:trPr>
          <w:trHeight w:val="300"/>
        </w:trPr>
        <w:tc>
          <w:tcPr>
            <w:tcW w:w="239" w:type="pct"/>
            <w:vMerge/>
          </w:tcPr>
          <w:p w14:paraId="2891E147" w14:textId="77777777" w:rsidR="00851EB8" w:rsidRPr="00B67949" w:rsidRDefault="00851EB8" w:rsidP="00886E2A">
            <w:pPr>
              <w:jc w:val="left"/>
              <w:rPr>
                <w:rFonts w:eastAsia="Times New Roman"/>
                <w:szCs w:val="24"/>
                <w:lang w:val="en-GB" w:eastAsia="hr-HR"/>
              </w:rPr>
            </w:pPr>
          </w:p>
        </w:tc>
        <w:tc>
          <w:tcPr>
            <w:tcW w:w="1191" w:type="pct"/>
            <w:noWrap/>
            <w:vAlign w:val="center"/>
            <w:hideMark/>
          </w:tcPr>
          <w:p w14:paraId="2D6216C8" w14:textId="658FACDF" w:rsidR="00851EB8" w:rsidRPr="00B67949" w:rsidRDefault="00851EB8" w:rsidP="00886E2A">
            <w:pPr>
              <w:jc w:val="left"/>
              <w:rPr>
                <w:rFonts w:eastAsia="Times New Roman"/>
                <w:szCs w:val="24"/>
                <w:lang w:val="en-GB" w:eastAsia="hr-HR"/>
              </w:rPr>
            </w:pPr>
            <w:r w:rsidRPr="00B67949">
              <w:rPr>
                <w:rFonts w:eastAsia="Times New Roman"/>
                <w:szCs w:val="24"/>
                <w:lang w:val="en-GB" w:eastAsia="hr-HR"/>
              </w:rPr>
              <w:t>Ash (%)</w:t>
            </w:r>
          </w:p>
        </w:tc>
        <w:tc>
          <w:tcPr>
            <w:tcW w:w="952" w:type="pct"/>
            <w:noWrap/>
            <w:vAlign w:val="center"/>
            <w:hideMark/>
          </w:tcPr>
          <w:p w14:paraId="2710B141" w14:textId="2E989093" w:rsidR="00851EB8" w:rsidRPr="00B67949" w:rsidRDefault="00851EB8" w:rsidP="00886E2A">
            <w:pPr>
              <w:jc w:val="center"/>
              <w:rPr>
                <w:rFonts w:eastAsia="Times New Roman"/>
                <w:szCs w:val="24"/>
                <w:lang w:val="en-GB" w:eastAsia="hr-HR"/>
              </w:rPr>
            </w:pPr>
            <w:r w:rsidRPr="00B67949">
              <w:rPr>
                <w:rFonts w:eastAsia="Times New Roman"/>
                <w:szCs w:val="24"/>
                <w:lang w:val="en-GB" w:eastAsia="hr-HR"/>
              </w:rPr>
              <w:t>0.62 ± 0.21</w:t>
            </w:r>
          </w:p>
        </w:tc>
        <w:tc>
          <w:tcPr>
            <w:tcW w:w="905" w:type="pct"/>
            <w:noWrap/>
            <w:vAlign w:val="center"/>
            <w:hideMark/>
          </w:tcPr>
          <w:p w14:paraId="466CBFBD" w14:textId="2DEF196A" w:rsidR="00851EB8" w:rsidRPr="00B67949" w:rsidRDefault="00851EB8" w:rsidP="00886E2A">
            <w:pPr>
              <w:jc w:val="center"/>
              <w:rPr>
                <w:rFonts w:eastAsia="Times New Roman"/>
                <w:szCs w:val="24"/>
                <w:lang w:val="en-GB" w:eastAsia="hr-HR"/>
              </w:rPr>
            </w:pPr>
            <w:r w:rsidRPr="00B67949">
              <w:rPr>
                <w:rFonts w:eastAsia="Times New Roman"/>
                <w:szCs w:val="24"/>
                <w:lang w:val="en-GB" w:eastAsia="hr-HR"/>
              </w:rPr>
              <w:t>0.60 ± 0.18</w:t>
            </w:r>
          </w:p>
        </w:tc>
        <w:tc>
          <w:tcPr>
            <w:tcW w:w="1017" w:type="pct"/>
            <w:noWrap/>
            <w:vAlign w:val="center"/>
            <w:hideMark/>
          </w:tcPr>
          <w:p w14:paraId="5504872E" w14:textId="48AED252" w:rsidR="00851EB8" w:rsidRPr="00B67949" w:rsidRDefault="00851EB8" w:rsidP="00886E2A">
            <w:pPr>
              <w:jc w:val="center"/>
              <w:rPr>
                <w:rFonts w:eastAsia="Times New Roman"/>
                <w:szCs w:val="24"/>
                <w:lang w:val="en-GB" w:eastAsia="hr-HR"/>
              </w:rPr>
            </w:pPr>
            <w:r w:rsidRPr="00B67949">
              <w:rPr>
                <w:rFonts w:eastAsia="Times New Roman"/>
                <w:szCs w:val="24"/>
                <w:lang w:val="en-GB" w:eastAsia="hr-HR"/>
              </w:rPr>
              <w:t>0.35 ± 0.22</w:t>
            </w:r>
          </w:p>
        </w:tc>
        <w:tc>
          <w:tcPr>
            <w:tcW w:w="696" w:type="pct"/>
          </w:tcPr>
          <w:p w14:paraId="525E27DE" w14:textId="62AD0ACA" w:rsidR="00851EB8" w:rsidRPr="00B67949" w:rsidRDefault="003C32C8" w:rsidP="00424E7D">
            <w:pPr>
              <w:ind w:right="170"/>
              <w:jc w:val="right"/>
              <w:rPr>
                <w:rFonts w:eastAsia="Times New Roman"/>
                <w:szCs w:val="24"/>
                <w:lang w:val="en-GB" w:eastAsia="hr-HR"/>
              </w:rPr>
            </w:pPr>
            <w:r w:rsidRPr="00B67949">
              <w:rPr>
                <w:rFonts w:eastAsia="Times New Roman"/>
                <w:szCs w:val="24"/>
                <w:lang w:val="en-GB" w:eastAsia="hr-HR"/>
              </w:rPr>
              <w:t>-0.07</w:t>
            </w:r>
          </w:p>
        </w:tc>
      </w:tr>
    </w:tbl>
    <w:p w14:paraId="7E05D616" w14:textId="77777777" w:rsidR="00CF5851" w:rsidRPr="00B67949" w:rsidRDefault="00CF5851" w:rsidP="00CF5851">
      <w:pPr>
        <w:rPr>
          <w:sz w:val="22"/>
          <w:szCs w:val="24"/>
          <w:lang w:val="en-GB"/>
        </w:rPr>
      </w:pPr>
      <w:r w:rsidRPr="00B67949">
        <w:rPr>
          <w:sz w:val="22"/>
          <w:szCs w:val="24"/>
          <w:lang w:val="en-GB"/>
        </w:rPr>
        <w:t>Different large A-B letters in order signify p&lt;0.05; different small a-b letters in order signify p&lt;0.01</w:t>
      </w:r>
    </w:p>
    <w:p w14:paraId="40F2F943" w14:textId="77777777" w:rsidR="00D05CDA" w:rsidRPr="00B67949" w:rsidRDefault="00D05CDA" w:rsidP="00CF5851">
      <w:pPr>
        <w:rPr>
          <w:szCs w:val="24"/>
          <w:lang w:val="en-GB"/>
        </w:rPr>
      </w:pPr>
    </w:p>
    <w:p w14:paraId="64973B00" w14:textId="594B3773" w:rsidR="00665E95" w:rsidRDefault="00EB4AD2" w:rsidP="00222D26">
      <w:pPr>
        <w:rPr>
          <w:rFonts w:cs="Arial"/>
          <w:szCs w:val="24"/>
          <w:lang w:val="en-GB"/>
        </w:rPr>
      </w:pPr>
      <w:r w:rsidRPr="00BF378B">
        <w:rPr>
          <w:color w:val="000000" w:themeColor="text1"/>
          <w:szCs w:val="24"/>
          <w:lang w:val="en-GB"/>
        </w:rPr>
        <w:t xml:space="preserve">Although, heterozygous individuals have had slightly lower cold half carcasses weight the observed differences were not </w:t>
      </w:r>
      <w:proofErr w:type="spellStart"/>
      <w:r w:rsidRPr="00BF378B">
        <w:rPr>
          <w:color w:val="000000" w:themeColor="text1"/>
          <w:szCs w:val="24"/>
          <w:lang w:val="en-GB"/>
        </w:rPr>
        <w:t>ststistically</w:t>
      </w:r>
      <w:proofErr w:type="spellEnd"/>
      <w:r w:rsidRPr="00BF378B">
        <w:rPr>
          <w:color w:val="000000" w:themeColor="text1"/>
          <w:szCs w:val="24"/>
          <w:lang w:val="en-GB"/>
        </w:rPr>
        <w:t xml:space="preserve"> significant. However, higher net daily gain was </w:t>
      </w:r>
      <w:r w:rsidRPr="00BF378B">
        <w:rPr>
          <w:color w:val="000000" w:themeColor="text1"/>
          <w:szCs w:val="24"/>
          <w:lang w:val="en-GB"/>
        </w:rPr>
        <w:lastRenderedPageBreak/>
        <w:t xml:space="preserve">determined in </w:t>
      </w:r>
      <w:r w:rsidRPr="00BF378B">
        <w:rPr>
          <w:rFonts w:cs="Arial"/>
          <w:color w:val="000000" w:themeColor="text1"/>
          <w:szCs w:val="24"/>
          <w:lang w:val="en-GB"/>
        </w:rPr>
        <w:t>GHR</w:t>
      </w:r>
      <w:r w:rsidRPr="00BF378B">
        <w:rPr>
          <w:rFonts w:cs="Arial"/>
          <w:color w:val="000000" w:themeColor="text1"/>
          <w:szCs w:val="24"/>
          <w:vertAlign w:val="superscript"/>
          <w:lang w:val="en-GB"/>
        </w:rPr>
        <w:t xml:space="preserve">GG </w:t>
      </w:r>
      <w:r w:rsidRPr="00BF378B">
        <w:rPr>
          <w:rFonts w:cs="Arial"/>
          <w:color w:val="000000" w:themeColor="text1"/>
          <w:szCs w:val="24"/>
          <w:lang w:val="en-GB"/>
        </w:rPr>
        <w:t>genotype compared to homozygote GHR</w:t>
      </w:r>
      <w:r w:rsidRPr="00BF378B">
        <w:rPr>
          <w:rFonts w:cs="Arial"/>
          <w:color w:val="000000" w:themeColor="text1"/>
          <w:szCs w:val="24"/>
          <w:vertAlign w:val="superscript"/>
          <w:lang w:val="en-GB"/>
        </w:rPr>
        <w:t xml:space="preserve">AA </w:t>
      </w:r>
      <w:r w:rsidRPr="00BF378B">
        <w:rPr>
          <w:color w:val="000000" w:themeColor="text1"/>
          <w:szCs w:val="24"/>
          <w:lang w:val="en-GB"/>
        </w:rPr>
        <w:t xml:space="preserve">and heterozygote </w:t>
      </w:r>
      <w:r w:rsidRPr="00BF378B">
        <w:rPr>
          <w:rFonts w:cs="Arial"/>
          <w:color w:val="000000" w:themeColor="text1"/>
          <w:szCs w:val="24"/>
          <w:lang w:val="en-GB"/>
        </w:rPr>
        <w:t>GHR</w:t>
      </w:r>
      <w:r w:rsidRPr="00BF378B">
        <w:rPr>
          <w:rFonts w:cs="Arial"/>
          <w:color w:val="000000" w:themeColor="text1"/>
          <w:szCs w:val="24"/>
          <w:vertAlign w:val="superscript"/>
          <w:lang w:val="en-GB"/>
        </w:rPr>
        <w:t xml:space="preserve">GA </w:t>
      </w:r>
      <w:r w:rsidRPr="00BF378B">
        <w:rPr>
          <w:rFonts w:cs="Arial"/>
          <w:color w:val="000000" w:themeColor="text1"/>
          <w:szCs w:val="24"/>
          <w:lang w:val="en-GB"/>
        </w:rPr>
        <w:t>genotype</w:t>
      </w:r>
      <w:r w:rsidRPr="00BF378B">
        <w:rPr>
          <w:rFonts w:cs="Arial"/>
          <w:color w:val="000000" w:themeColor="text1"/>
          <w:szCs w:val="24"/>
          <w:vertAlign w:val="superscript"/>
          <w:lang w:val="en-GB"/>
        </w:rPr>
        <w:t xml:space="preserve"> </w:t>
      </w:r>
      <w:r w:rsidRPr="00BF378B">
        <w:rPr>
          <w:rFonts w:cs="Arial"/>
          <w:color w:val="000000" w:themeColor="text1"/>
          <w:szCs w:val="24"/>
          <w:lang w:val="en-GB"/>
        </w:rPr>
        <w:t>(</w:t>
      </w:r>
      <w:r w:rsidRPr="00BF378B">
        <w:rPr>
          <w:color w:val="000000" w:themeColor="text1"/>
          <w:szCs w:val="24"/>
          <w:lang w:val="en-GB"/>
        </w:rPr>
        <w:t xml:space="preserve">p&lt;0.01). </w:t>
      </w:r>
      <w:r w:rsidR="00011ECA" w:rsidRPr="00BF378B">
        <w:rPr>
          <w:color w:val="000000" w:themeColor="text1"/>
          <w:szCs w:val="24"/>
          <w:lang w:val="en-GB"/>
        </w:rPr>
        <w:t xml:space="preserve">Similar results to present study </w:t>
      </w:r>
      <w:r w:rsidR="00DA548C" w:rsidRPr="00BF378B">
        <w:rPr>
          <w:color w:val="000000" w:themeColor="text1"/>
          <w:szCs w:val="24"/>
          <w:lang w:val="en-GB"/>
        </w:rPr>
        <w:t>were obtain in Angus cattle</w:t>
      </w:r>
      <w:r w:rsidR="00011ECA" w:rsidRPr="00BF378B">
        <w:rPr>
          <w:color w:val="000000" w:themeColor="text1"/>
          <w:szCs w:val="24"/>
          <w:lang w:val="en-GB"/>
        </w:rPr>
        <w:t xml:space="preserve"> by Ge et al. (2003)</w:t>
      </w:r>
      <w:r w:rsidR="00DA548C" w:rsidRPr="00BF378B">
        <w:rPr>
          <w:color w:val="000000" w:themeColor="text1"/>
          <w:szCs w:val="24"/>
          <w:lang w:val="en-GB"/>
        </w:rPr>
        <w:t xml:space="preserve">, </w:t>
      </w:r>
      <w:r w:rsidR="00011ECA" w:rsidRPr="00BF378B">
        <w:rPr>
          <w:color w:val="000000" w:themeColor="text1"/>
          <w:szCs w:val="24"/>
          <w:lang w:val="en-GB"/>
        </w:rPr>
        <w:t xml:space="preserve">who </w:t>
      </w:r>
      <w:r w:rsidR="00DA548C" w:rsidRPr="00BF378B">
        <w:rPr>
          <w:color w:val="000000" w:themeColor="text1"/>
          <w:szCs w:val="24"/>
          <w:lang w:val="en-GB"/>
        </w:rPr>
        <w:t xml:space="preserve">failed to reveal significant effect of GHR gene </w:t>
      </w:r>
      <w:r w:rsidR="00011ECA" w:rsidRPr="00BF378B">
        <w:rPr>
          <w:color w:val="000000" w:themeColor="text1"/>
          <w:szCs w:val="24"/>
          <w:lang w:val="en-GB"/>
        </w:rPr>
        <w:t xml:space="preserve">on </w:t>
      </w:r>
      <w:r w:rsidR="00DA548C" w:rsidRPr="00BF378B">
        <w:rPr>
          <w:color w:val="000000" w:themeColor="text1"/>
          <w:szCs w:val="24"/>
          <w:lang w:val="en-GB"/>
        </w:rPr>
        <w:t xml:space="preserve">growth traits. </w:t>
      </w:r>
      <w:proofErr w:type="spellStart"/>
      <w:r w:rsidR="00DA548C" w:rsidRPr="00BF378B">
        <w:rPr>
          <w:color w:val="000000" w:themeColor="text1"/>
          <w:szCs w:val="24"/>
          <w:lang w:val="en-GB"/>
        </w:rPr>
        <w:t>Stasio</w:t>
      </w:r>
      <w:proofErr w:type="spellEnd"/>
      <w:r w:rsidR="00DA548C" w:rsidRPr="00BF378B">
        <w:rPr>
          <w:color w:val="000000" w:themeColor="text1"/>
          <w:szCs w:val="24"/>
          <w:lang w:val="en-GB"/>
        </w:rPr>
        <w:t xml:space="preserve"> et al. (2005) </w:t>
      </w:r>
      <w:r w:rsidR="00011ECA" w:rsidRPr="00BF378B">
        <w:rPr>
          <w:color w:val="000000" w:themeColor="text1"/>
          <w:szCs w:val="24"/>
          <w:lang w:val="en-GB"/>
        </w:rPr>
        <w:t xml:space="preserve">were </w:t>
      </w:r>
      <w:r w:rsidR="00DA548C" w:rsidRPr="00BF378B">
        <w:rPr>
          <w:color w:val="000000" w:themeColor="text1"/>
          <w:szCs w:val="24"/>
          <w:lang w:val="en-GB"/>
        </w:rPr>
        <w:t>generally observed unfavourable effect of the allele GHR</w:t>
      </w:r>
      <w:r w:rsidR="00DA548C" w:rsidRPr="00BF378B">
        <w:rPr>
          <w:color w:val="000000" w:themeColor="text1"/>
          <w:szCs w:val="24"/>
          <w:vertAlign w:val="superscript"/>
          <w:lang w:val="en-GB"/>
        </w:rPr>
        <w:t>A</w:t>
      </w:r>
      <w:r w:rsidR="00DA548C" w:rsidRPr="00BF378B">
        <w:rPr>
          <w:color w:val="000000" w:themeColor="text1"/>
          <w:szCs w:val="24"/>
          <w:lang w:val="en-GB"/>
        </w:rPr>
        <w:t xml:space="preserve"> </w:t>
      </w:r>
      <w:r w:rsidR="00DA548C" w:rsidRPr="00B67949">
        <w:rPr>
          <w:szCs w:val="24"/>
          <w:lang w:val="en-GB"/>
        </w:rPr>
        <w:t xml:space="preserve">for all growth traits, but none of the values were significant. </w:t>
      </w:r>
      <w:r w:rsidR="00011ECA">
        <w:rPr>
          <w:szCs w:val="24"/>
          <w:lang w:val="en-GB"/>
        </w:rPr>
        <w:t xml:space="preserve">Share of muscle tissue in beef carcasses were significantly higher in animals of </w:t>
      </w:r>
      <w:r w:rsidR="00011ECA" w:rsidRPr="00B67949">
        <w:rPr>
          <w:rFonts w:cs="Arial"/>
          <w:szCs w:val="24"/>
          <w:lang w:val="en-GB"/>
        </w:rPr>
        <w:t>GHR</w:t>
      </w:r>
      <w:r w:rsidR="00011ECA" w:rsidRPr="00B67949">
        <w:rPr>
          <w:rFonts w:cs="Arial"/>
          <w:szCs w:val="24"/>
          <w:vertAlign w:val="superscript"/>
          <w:lang w:val="en-GB"/>
        </w:rPr>
        <w:t>GG</w:t>
      </w:r>
      <w:r w:rsidR="00011ECA">
        <w:rPr>
          <w:rFonts w:cs="Arial"/>
          <w:szCs w:val="24"/>
          <w:vertAlign w:val="superscript"/>
          <w:lang w:val="en-GB"/>
        </w:rPr>
        <w:t xml:space="preserve"> </w:t>
      </w:r>
      <w:r w:rsidR="00011ECA" w:rsidRPr="00BF378B">
        <w:rPr>
          <w:rFonts w:cs="Arial"/>
          <w:szCs w:val="24"/>
          <w:lang w:val="en-GB"/>
        </w:rPr>
        <w:t>genotype</w:t>
      </w:r>
      <w:r w:rsidR="00011ECA">
        <w:rPr>
          <w:rFonts w:cs="Arial"/>
          <w:szCs w:val="24"/>
          <w:lang w:val="en-GB"/>
        </w:rPr>
        <w:t>s</w:t>
      </w:r>
      <w:r w:rsidR="00011ECA" w:rsidRPr="00BF378B">
        <w:rPr>
          <w:rFonts w:cs="Arial"/>
          <w:szCs w:val="24"/>
          <w:lang w:val="en-GB"/>
        </w:rPr>
        <w:t xml:space="preserve"> </w:t>
      </w:r>
      <w:r w:rsidR="00807BFD">
        <w:rPr>
          <w:szCs w:val="24"/>
          <w:lang w:val="en-GB"/>
        </w:rPr>
        <w:t>compared</w:t>
      </w:r>
      <w:r w:rsidR="00011ECA" w:rsidRPr="00B67949">
        <w:rPr>
          <w:szCs w:val="24"/>
          <w:lang w:val="en-GB"/>
        </w:rPr>
        <w:t xml:space="preserve"> to the </w:t>
      </w:r>
      <w:r w:rsidR="00011ECA" w:rsidRPr="00B67949">
        <w:rPr>
          <w:rFonts w:cs="Arial"/>
          <w:szCs w:val="24"/>
          <w:lang w:val="en-GB"/>
        </w:rPr>
        <w:t>GHR</w:t>
      </w:r>
      <w:r w:rsidR="00011ECA" w:rsidRPr="00B67949">
        <w:rPr>
          <w:rFonts w:cs="Arial"/>
          <w:szCs w:val="24"/>
          <w:vertAlign w:val="superscript"/>
          <w:lang w:val="en-GB"/>
        </w:rPr>
        <w:t>AA</w:t>
      </w:r>
      <w:r w:rsidR="00011ECA" w:rsidRPr="00B67949">
        <w:rPr>
          <w:szCs w:val="24"/>
          <w:lang w:val="en-GB"/>
        </w:rPr>
        <w:t xml:space="preserve"> genotype</w:t>
      </w:r>
      <w:r w:rsidR="00011ECA">
        <w:rPr>
          <w:szCs w:val="24"/>
          <w:lang w:val="en-GB"/>
        </w:rPr>
        <w:t>s</w:t>
      </w:r>
      <w:r w:rsidR="00011ECA" w:rsidRPr="00B67949">
        <w:rPr>
          <w:szCs w:val="24"/>
          <w:lang w:val="en-GB"/>
        </w:rPr>
        <w:t xml:space="preserve"> (66.35 vs. 61.42; p&lt;0.05).</w:t>
      </w:r>
      <w:r w:rsidR="00807BFD">
        <w:rPr>
          <w:szCs w:val="24"/>
          <w:lang w:val="en-GB"/>
        </w:rPr>
        <w:t xml:space="preserve"> </w:t>
      </w:r>
      <w:r w:rsidR="00555BF5" w:rsidRPr="00B67949">
        <w:rPr>
          <w:szCs w:val="24"/>
          <w:lang w:val="en-GB"/>
        </w:rPr>
        <w:t>Contrary</w:t>
      </w:r>
      <w:r w:rsidR="000B0C59" w:rsidRPr="00B67949">
        <w:rPr>
          <w:szCs w:val="24"/>
          <w:lang w:val="en-GB"/>
        </w:rPr>
        <w:t>,</w:t>
      </w:r>
      <w:r w:rsidR="00333361" w:rsidRPr="00B67949">
        <w:rPr>
          <w:szCs w:val="24"/>
          <w:lang w:val="en-GB"/>
        </w:rPr>
        <w:t xml:space="preserve"> individuals with </w:t>
      </w:r>
      <w:r w:rsidR="00003E40" w:rsidRPr="00B67949">
        <w:rPr>
          <w:rFonts w:cs="Arial"/>
          <w:szCs w:val="24"/>
          <w:lang w:val="en-GB"/>
        </w:rPr>
        <w:t>GHR</w:t>
      </w:r>
      <w:r w:rsidR="00003E40" w:rsidRPr="00B67949">
        <w:rPr>
          <w:rFonts w:cs="Arial"/>
          <w:szCs w:val="24"/>
          <w:vertAlign w:val="superscript"/>
          <w:lang w:val="en-GB"/>
        </w:rPr>
        <w:t>AA</w:t>
      </w:r>
      <w:r w:rsidR="00333361" w:rsidRPr="00B67949">
        <w:rPr>
          <w:szCs w:val="24"/>
          <w:lang w:val="en-GB"/>
        </w:rPr>
        <w:t xml:space="preserve"> </w:t>
      </w:r>
      <w:r w:rsidR="00807BFD">
        <w:rPr>
          <w:szCs w:val="24"/>
          <w:lang w:val="en-GB"/>
        </w:rPr>
        <w:t xml:space="preserve">genotype have significantly higher fat tissue percentage compared to </w:t>
      </w:r>
      <w:r w:rsidR="00807BFD" w:rsidRPr="00B67949">
        <w:rPr>
          <w:rFonts w:cs="Arial"/>
          <w:szCs w:val="24"/>
          <w:lang w:val="en-GB"/>
        </w:rPr>
        <w:t>GHR</w:t>
      </w:r>
      <w:r w:rsidR="00807BFD">
        <w:rPr>
          <w:rFonts w:cs="Arial"/>
          <w:szCs w:val="24"/>
          <w:vertAlign w:val="superscript"/>
          <w:lang w:val="en-GB"/>
        </w:rPr>
        <w:t>GA</w:t>
      </w:r>
      <w:r w:rsidR="00807BFD" w:rsidRPr="00B67949">
        <w:rPr>
          <w:szCs w:val="24"/>
          <w:lang w:val="en-GB"/>
        </w:rPr>
        <w:t xml:space="preserve"> </w:t>
      </w:r>
      <w:r w:rsidR="00807BFD">
        <w:rPr>
          <w:szCs w:val="24"/>
          <w:lang w:val="en-GB"/>
        </w:rPr>
        <w:t xml:space="preserve">(p&lt;0.05) and </w:t>
      </w:r>
      <w:r w:rsidR="00807BFD" w:rsidRPr="00B67949">
        <w:rPr>
          <w:rFonts w:cs="Arial"/>
          <w:szCs w:val="24"/>
          <w:lang w:val="en-GB"/>
        </w:rPr>
        <w:t>GHR</w:t>
      </w:r>
      <w:r w:rsidR="00807BFD" w:rsidRPr="00B67949">
        <w:rPr>
          <w:rFonts w:cs="Arial"/>
          <w:szCs w:val="24"/>
          <w:vertAlign w:val="superscript"/>
          <w:lang w:val="en-GB"/>
        </w:rPr>
        <w:t>GG</w:t>
      </w:r>
      <w:r w:rsidR="00807BFD" w:rsidRPr="00B67949">
        <w:rPr>
          <w:szCs w:val="24"/>
          <w:lang w:val="en-GB"/>
        </w:rPr>
        <w:t xml:space="preserve"> </w:t>
      </w:r>
      <w:r w:rsidR="00807BFD">
        <w:rPr>
          <w:szCs w:val="24"/>
          <w:lang w:val="en-GB"/>
        </w:rPr>
        <w:t>(p&lt;0.01).</w:t>
      </w:r>
      <w:r w:rsidR="00D24B9E" w:rsidRPr="00B67949">
        <w:rPr>
          <w:szCs w:val="24"/>
          <w:lang w:val="en-GB"/>
        </w:rPr>
        <w:t xml:space="preserve"> </w:t>
      </w:r>
      <w:r w:rsidR="008F6B91" w:rsidRPr="00B67949">
        <w:rPr>
          <w:szCs w:val="24"/>
          <w:lang w:val="en-GB"/>
        </w:rPr>
        <w:t>Reardon et al. (2010) also observed significant GHR gene pol</w:t>
      </w:r>
      <w:r w:rsidR="00E97EE5">
        <w:rPr>
          <w:szCs w:val="24"/>
          <w:lang w:val="en-GB"/>
        </w:rPr>
        <w:t>y</w:t>
      </w:r>
      <w:r w:rsidR="008F6B91" w:rsidRPr="00B67949">
        <w:rPr>
          <w:szCs w:val="24"/>
          <w:lang w:val="en-GB"/>
        </w:rPr>
        <w:t>mor</w:t>
      </w:r>
      <w:r w:rsidR="005F1A88">
        <w:rPr>
          <w:szCs w:val="24"/>
          <w:lang w:val="en-GB"/>
        </w:rPr>
        <w:t>p</w:t>
      </w:r>
      <w:r w:rsidR="008F6B91" w:rsidRPr="00B67949">
        <w:rPr>
          <w:szCs w:val="24"/>
          <w:lang w:val="en-GB"/>
        </w:rPr>
        <w:t xml:space="preserve">hisms </w:t>
      </w:r>
      <w:r w:rsidR="00E97EE5">
        <w:rPr>
          <w:szCs w:val="24"/>
          <w:lang w:val="en-GB"/>
        </w:rPr>
        <w:t>association</w:t>
      </w:r>
      <w:r w:rsidR="00807BFD" w:rsidRPr="00B67949">
        <w:rPr>
          <w:szCs w:val="24"/>
          <w:lang w:val="en-GB"/>
        </w:rPr>
        <w:t xml:space="preserve"> </w:t>
      </w:r>
      <w:r w:rsidR="008F6B91" w:rsidRPr="00B67949">
        <w:rPr>
          <w:szCs w:val="24"/>
          <w:lang w:val="en-GB"/>
        </w:rPr>
        <w:t xml:space="preserve">with </w:t>
      </w:r>
      <w:r w:rsidR="00807BFD">
        <w:rPr>
          <w:szCs w:val="24"/>
          <w:lang w:val="en-GB"/>
        </w:rPr>
        <w:t xml:space="preserve">the </w:t>
      </w:r>
      <w:r w:rsidR="008F6B91" w:rsidRPr="00B67949">
        <w:rPr>
          <w:szCs w:val="24"/>
          <w:lang w:val="en-GB"/>
        </w:rPr>
        <w:t xml:space="preserve">share of intramuscular fat (p&lt;0.001). </w:t>
      </w:r>
      <w:r w:rsidR="00E97EE5">
        <w:rPr>
          <w:rFonts w:cs="Arial"/>
          <w:szCs w:val="24"/>
          <w:lang w:val="en-GB"/>
        </w:rPr>
        <w:t>T</w:t>
      </w:r>
      <w:r w:rsidR="003C32C8" w:rsidRPr="00B67949">
        <w:rPr>
          <w:rFonts w:cs="Arial"/>
          <w:szCs w:val="24"/>
          <w:lang w:val="en-GB"/>
        </w:rPr>
        <w:t xml:space="preserve">he </w:t>
      </w:r>
      <w:r w:rsidR="00E97EE5" w:rsidRPr="00B67949">
        <w:rPr>
          <w:rFonts w:cs="Arial"/>
          <w:szCs w:val="24"/>
          <w:lang w:val="en-GB"/>
        </w:rPr>
        <w:t>effec</w:t>
      </w:r>
      <w:r w:rsidR="00E97EE5">
        <w:rPr>
          <w:rFonts w:cs="Arial"/>
          <w:szCs w:val="24"/>
          <w:lang w:val="en-GB"/>
        </w:rPr>
        <w:t xml:space="preserve">t of </w:t>
      </w:r>
      <w:r w:rsidR="003C32C8" w:rsidRPr="00B67949">
        <w:rPr>
          <w:rFonts w:cs="Arial"/>
          <w:szCs w:val="24"/>
          <w:lang w:val="en-GB"/>
        </w:rPr>
        <w:t xml:space="preserve">GHR allele substitution </w:t>
      </w:r>
      <w:r w:rsidR="00E97EE5">
        <w:rPr>
          <w:rFonts w:cs="Arial"/>
          <w:szCs w:val="24"/>
          <w:lang w:val="en-GB"/>
        </w:rPr>
        <w:t>is present in Table 3. C</w:t>
      </w:r>
      <w:r w:rsidR="003C32C8" w:rsidRPr="00B67949">
        <w:rPr>
          <w:rFonts w:cs="Arial"/>
          <w:szCs w:val="24"/>
          <w:lang w:val="en-GB"/>
        </w:rPr>
        <w:t xml:space="preserve">hanging one copy of the </w:t>
      </w:r>
      <w:r w:rsidR="00003E40" w:rsidRPr="00B67949">
        <w:rPr>
          <w:rFonts w:cs="Arial"/>
          <w:szCs w:val="24"/>
          <w:lang w:val="en-GB"/>
        </w:rPr>
        <w:t>GHR</w:t>
      </w:r>
      <w:r w:rsidR="00003E40" w:rsidRPr="00B67949">
        <w:rPr>
          <w:rFonts w:cs="Arial"/>
          <w:szCs w:val="24"/>
          <w:vertAlign w:val="superscript"/>
          <w:lang w:val="en-GB"/>
        </w:rPr>
        <w:t>A</w:t>
      </w:r>
      <w:r w:rsidR="003C32C8" w:rsidRPr="00B67949">
        <w:rPr>
          <w:rFonts w:cs="Arial"/>
          <w:szCs w:val="24"/>
          <w:lang w:val="en-GB"/>
        </w:rPr>
        <w:t xml:space="preserve"> allele by the </w:t>
      </w:r>
      <w:r w:rsidR="00003E40" w:rsidRPr="00B67949">
        <w:rPr>
          <w:rFonts w:cs="Arial"/>
          <w:szCs w:val="24"/>
          <w:lang w:val="en-GB"/>
        </w:rPr>
        <w:t>GHR</w:t>
      </w:r>
      <w:r w:rsidR="00003E40" w:rsidRPr="00B67949">
        <w:rPr>
          <w:rFonts w:cs="Arial"/>
          <w:szCs w:val="24"/>
          <w:vertAlign w:val="superscript"/>
          <w:lang w:val="en-GB"/>
        </w:rPr>
        <w:t>G</w:t>
      </w:r>
      <w:r w:rsidR="003C32C8" w:rsidRPr="00B67949">
        <w:rPr>
          <w:rFonts w:cs="Arial"/>
          <w:szCs w:val="24"/>
          <w:lang w:val="en-GB"/>
        </w:rPr>
        <w:t xml:space="preserve"> allele leads to significant (</w:t>
      </w:r>
      <w:r w:rsidR="00E97EE5">
        <w:rPr>
          <w:rFonts w:cs="Arial"/>
          <w:szCs w:val="24"/>
          <w:lang w:val="en-GB"/>
        </w:rPr>
        <w:t>p</w:t>
      </w:r>
      <w:r w:rsidR="003C32C8" w:rsidRPr="00B67949">
        <w:rPr>
          <w:rFonts w:cs="Arial"/>
          <w:szCs w:val="24"/>
          <w:lang w:val="en-GB"/>
        </w:rPr>
        <w:t>&lt;0.01) increase share of muscle tis</w:t>
      </w:r>
      <w:r w:rsidR="005F1A88">
        <w:rPr>
          <w:rFonts w:cs="Arial"/>
          <w:szCs w:val="24"/>
          <w:lang w:val="en-GB"/>
        </w:rPr>
        <w:t>s</w:t>
      </w:r>
      <w:r w:rsidR="003C32C8" w:rsidRPr="00B67949">
        <w:rPr>
          <w:rFonts w:cs="Arial"/>
          <w:szCs w:val="24"/>
          <w:lang w:val="en-GB"/>
        </w:rPr>
        <w:t>ue and decre</w:t>
      </w:r>
      <w:r w:rsidR="00772D02">
        <w:rPr>
          <w:rFonts w:cs="Arial"/>
          <w:szCs w:val="24"/>
          <w:lang w:val="en-GB"/>
        </w:rPr>
        <w:t>ase</w:t>
      </w:r>
      <w:r w:rsidR="003C32C8" w:rsidRPr="00B67949">
        <w:rPr>
          <w:rFonts w:cs="Arial"/>
          <w:szCs w:val="24"/>
          <w:lang w:val="en-GB"/>
        </w:rPr>
        <w:t xml:space="preserve"> share of fat tissue by 2.85 %. </w:t>
      </w:r>
      <w:r w:rsidR="005F1A88">
        <w:rPr>
          <w:rFonts w:cs="Arial"/>
          <w:szCs w:val="24"/>
          <w:lang w:val="en-GB"/>
        </w:rPr>
        <w:t>In addition</w:t>
      </w:r>
      <w:r w:rsidR="003C32C8" w:rsidRPr="00B67949">
        <w:rPr>
          <w:rFonts w:cs="Arial"/>
          <w:szCs w:val="24"/>
          <w:lang w:val="en-GB"/>
        </w:rPr>
        <w:t xml:space="preserve">, the </w:t>
      </w:r>
      <w:r w:rsidR="00003E40" w:rsidRPr="00B67949">
        <w:rPr>
          <w:rFonts w:cs="Arial"/>
          <w:szCs w:val="24"/>
          <w:lang w:val="en-GB"/>
        </w:rPr>
        <w:t>GHR</w:t>
      </w:r>
      <w:r w:rsidR="00003E40" w:rsidRPr="00B67949">
        <w:rPr>
          <w:rFonts w:cs="Arial"/>
          <w:szCs w:val="24"/>
          <w:vertAlign w:val="superscript"/>
          <w:lang w:val="en-GB"/>
        </w:rPr>
        <w:t>G</w:t>
      </w:r>
      <w:r w:rsidR="003C32C8" w:rsidRPr="00B67949">
        <w:rPr>
          <w:rFonts w:cs="Arial"/>
          <w:szCs w:val="24"/>
          <w:lang w:val="en-GB"/>
        </w:rPr>
        <w:t xml:space="preserve"> allele leads to significant (</w:t>
      </w:r>
      <w:r w:rsidR="00563D37">
        <w:rPr>
          <w:rFonts w:cs="Arial"/>
          <w:szCs w:val="24"/>
          <w:lang w:val="en-GB"/>
        </w:rPr>
        <w:t>p</w:t>
      </w:r>
      <w:r w:rsidR="003C32C8" w:rsidRPr="00B67949">
        <w:rPr>
          <w:rFonts w:cs="Arial"/>
          <w:szCs w:val="24"/>
          <w:lang w:val="en-GB"/>
        </w:rPr>
        <w:t xml:space="preserve">&lt;0.05) increase </w:t>
      </w:r>
      <w:r w:rsidR="003C32C8" w:rsidRPr="00B67949">
        <w:rPr>
          <w:rFonts w:eastAsia="Times New Roman"/>
          <w:szCs w:val="24"/>
          <w:lang w:val="en-GB" w:eastAsia="hr-HR"/>
        </w:rPr>
        <w:t>content of collagen</w:t>
      </w:r>
      <w:r w:rsidR="003C32C8" w:rsidRPr="00B67949">
        <w:rPr>
          <w:rFonts w:cs="Arial"/>
          <w:szCs w:val="24"/>
          <w:lang w:val="en-GB"/>
        </w:rPr>
        <w:t xml:space="preserve"> by 0.09 %. </w:t>
      </w:r>
      <w:r w:rsidR="00665E95" w:rsidRPr="00B67949">
        <w:rPr>
          <w:rFonts w:cs="Arial"/>
          <w:szCs w:val="24"/>
          <w:lang w:val="en-GB"/>
        </w:rPr>
        <w:t xml:space="preserve">The substitution effect of </w:t>
      </w:r>
      <w:r w:rsidR="00003E40" w:rsidRPr="00B67949">
        <w:rPr>
          <w:rFonts w:cs="Arial"/>
          <w:szCs w:val="24"/>
          <w:lang w:val="en-GB"/>
        </w:rPr>
        <w:t>GHR</w:t>
      </w:r>
      <w:r w:rsidR="00003E40" w:rsidRPr="00B67949">
        <w:rPr>
          <w:rFonts w:cs="Arial"/>
          <w:szCs w:val="24"/>
          <w:vertAlign w:val="superscript"/>
          <w:lang w:val="en-GB"/>
        </w:rPr>
        <w:t>G</w:t>
      </w:r>
      <w:r w:rsidR="00665E95" w:rsidRPr="00B67949">
        <w:rPr>
          <w:rFonts w:cs="Arial"/>
          <w:szCs w:val="24"/>
          <w:lang w:val="en-GB"/>
        </w:rPr>
        <w:t xml:space="preserve"> allele were </w:t>
      </w:r>
      <w:proofErr w:type="spellStart"/>
      <w:proofErr w:type="gramStart"/>
      <w:r w:rsidR="003C32C8" w:rsidRPr="00B67949">
        <w:rPr>
          <w:rFonts w:cs="Arial"/>
          <w:szCs w:val="24"/>
          <w:lang w:val="en-GB"/>
        </w:rPr>
        <w:t>non significant</w:t>
      </w:r>
      <w:proofErr w:type="spellEnd"/>
      <w:proofErr w:type="gramEnd"/>
      <w:r w:rsidR="003C32C8" w:rsidRPr="00B67949">
        <w:rPr>
          <w:rFonts w:cs="Arial"/>
          <w:szCs w:val="24"/>
          <w:lang w:val="en-GB"/>
        </w:rPr>
        <w:t xml:space="preserve"> </w:t>
      </w:r>
      <w:r w:rsidR="00E97EE5">
        <w:rPr>
          <w:rFonts w:cs="Arial"/>
          <w:szCs w:val="24"/>
          <w:lang w:val="en-GB"/>
        </w:rPr>
        <w:t>for</w:t>
      </w:r>
      <w:r w:rsidR="00665E95" w:rsidRPr="00B67949">
        <w:rPr>
          <w:rFonts w:cs="Arial"/>
          <w:szCs w:val="24"/>
          <w:lang w:val="en-GB"/>
        </w:rPr>
        <w:t xml:space="preserve"> </w:t>
      </w:r>
      <w:r w:rsidR="00665E95" w:rsidRPr="00B67949">
        <w:rPr>
          <w:noProof/>
          <w:szCs w:val="24"/>
          <w:lang w:val="en-GB"/>
        </w:rPr>
        <w:t xml:space="preserve">EUROP </w:t>
      </w:r>
      <w:r w:rsidR="00563D37">
        <w:rPr>
          <w:noProof/>
          <w:szCs w:val="24"/>
          <w:lang w:val="en-GB"/>
        </w:rPr>
        <w:t xml:space="preserve">carcass classification, </w:t>
      </w:r>
      <w:r w:rsidR="00665E95" w:rsidRPr="00B67949">
        <w:rPr>
          <w:noProof/>
          <w:szCs w:val="24"/>
          <w:lang w:val="en-GB"/>
        </w:rPr>
        <w:t>fatness score, share of bone tisue</w:t>
      </w:r>
      <w:r w:rsidR="00563D37">
        <w:rPr>
          <w:noProof/>
          <w:szCs w:val="24"/>
          <w:lang w:val="en-GB"/>
        </w:rPr>
        <w:t>,</w:t>
      </w:r>
      <w:r w:rsidR="00665E95" w:rsidRPr="00B67949">
        <w:rPr>
          <w:noProof/>
          <w:szCs w:val="24"/>
          <w:lang w:val="en-GB"/>
        </w:rPr>
        <w:t xml:space="preserve"> and protein, fat and ash</w:t>
      </w:r>
      <w:r w:rsidR="00563D37" w:rsidRPr="00563D37">
        <w:rPr>
          <w:noProof/>
          <w:szCs w:val="24"/>
          <w:lang w:val="en-GB"/>
        </w:rPr>
        <w:t xml:space="preserve"> </w:t>
      </w:r>
      <w:r w:rsidR="00563D37" w:rsidRPr="00B67949">
        <w:rPr>
          <w:noProof/>
          <w:szCs w:val="24"/>
          <w:lang w:val="en-GB"/>
        </w:rPr>
        <w:t>c</w:t>
      </w:r>
      <w:r w:rsidR="00563D37">
        <w:rPr>
          <w:noProof/>
          <w:szCs w:val="24"/>
          <w:lang w:val="en-GB"/>
        </w:rPr>
        <w:t>ontent in MLD</w:t>
      </w:r>
      <w:r w:rsidR="00665E95" w:rsidRPr="00B67949">
        <w:rPr>
          <w:noProof/>
          <w:szCs w:val="24"/>
          <w:lang w:val="en-GB"/>
        </w:rPr>
        <w:t xml:space="preserve">. </w:t>
      </w:r>
      <w:r w:rsidR="00563D37">
        <w:rPr>
          <w:noProof/>
          <w:szCs w:val="24"/>
          <w:lang w:val="en-GB"/>
        </w:rPr>
        <w:t xml:space="preserve">However, due to low number of </w:t>
      </w:r>
      <w:r w:rsidR="00563D37" w:rsidRPr="00B67949">
        <w:rPr>
          <w:rFonts w:cs="Arial"/>
          <w:szCs w:val="24"/>
          <w:lang w:val="en-GB"/>
        </w:rPr>
        <w:t>GHR</w:t>
      </w:r>
      <w:r w:rsidR="00563D37" w:rsidRPr="00B67949">
        <w:rPr>
          <w:rFonts w:cs="Arial"/>
          <w:szCs w:val="24"/>
          <w:vertAlign w:val="superscript"/>
          <w:lang w:val="en-GB"/>
        </w:rPr>
        <w:t>GG</w:t>
      </w:r>
      <w:r w:rsidR="00563D37">
        <w:rPr>
          <w:rFonts w:cs="Arial"/>
          <w:szCs w:val="24"/>
          <w:vertAlign w:val="superscript"/>
          <w:lang w:val="en-GB"/>
        </w:rPr>
        <w:t xml:space="preserve"> </w:t>
      </w:r>
      <w:r w:rsidR="00563D37">
        <w:rPr>
          <w:rFonts w:cs="Arial"/>
          <w:szCs w:val="24"/>
          <w:lang w:val="en-GB"/>
        </w:rPr>
        <w:t>genotypes</w:t>
      </w:r>
      <w:r w:rsidR="00772D02">
        <w:rPr>
          <w:rFonts w:cs="Arial"/>
          <w:szCs w:val="24"/>
          <w:lang w:val="en-GB"/>
        </w:rPr>
        <w:t>,</w:t>
      </w:r>
      <w:r w:rsidR="00563D37">
        <w:rPr>
          <w:rFonts w:cs="Arial"/>
          <w:szCs w:val="24"/>
          <w:lang w:val="en-GB"/>
        </w:rPr>
        <w:t xml:space="preserve"> estimation of substitution effect of G allele for </w:t>
      </w:r>
      <w:r w:rsidR="00563D37" w:rsidRPr="00B67949">
        <w:rPr>
          <w:rFonts w:cs="Arial"/>
          <w:szCs w:val="24"/>
          <w:lang w:val="en-GB"/>
        </w:rPr>
        <w:t>carcass weight</w:t>
      </w:r>
      <w:r w:rsidR="00563D37">
        <w:rPr>
          <w:rFonts w:cs="Arial"/>
          <w:szCs w:val="24"/>
          <w:lang w:val="en-GB"/>
        </w:rPr>
        <w:t xml:space="preserve"> and </w:t>
      </w:r>
      <w:r w:rsidR="00563D37" w:rsidRPr="00B67949">
        <w:rPr>
          <w:rFonts w:cs="Arial"/>
          <w:szCs w:val="24"/>
          <w:lang w:val="en-GB"/>
        </w:rPr>
        <w:t>net daily gain</w:t>
      </w:r>
      <w:r w:rsidR="00563D37">
        <w:rPr>
          <w:rFonts w:cs="Arial"/>
          <w:szCs w:val="24"/>
          <w:lang w:val="en-GB"/>
        </w:rPr>
        <w:t xml:space="preserve"> was no</w:t>
      </w:r>
      <w:r w:rsidR="00772D02">
        <w:rPr>
          <w:rFonts w:cs="Arial"/>
          <w:szCs w:val="24"/>
          <w:lang w:val="en-GB"/>
        </w:rPr>
        <w:t>t</w:t>
      </w:r>
      <w:r w:rsidR="00563D37">
        <w:rPr>
          <w:rFonts w:cs="Arial"/>
          <w:szCs w:val="24"/>
          <w:lang w:val="en-GB"/>
        </w:rPr>
        <w:t xml:space="preserve"> reliable. </w:t>
      </w:r>
    </w:p>
    <w:p w14:paraId="3D8BB453" w14:textId="77777777" w:rsidR="00563D37" w:rsidRPr="00B67949" w:rsidRDefault="00563D37" w:rsidP="00222D26">
      <w:pPr>
        <w:rPr>
          <w:noProof/>
          <w:szCs w:val="24"/>
          <w:lang w:val="en-GB"/>
        </w:rPr>
      </w:pPr>
    </w:p>
    <w:p w14:paraId="2E2CB105" w14:textId="77777777" w:rsidR="00714534" w:rsidRPr="00B67949" w:rsidRDefault="004D571C" w:rsidP="00714534">
      <w:pPr>
        <w:rPr>
          <w:b/>
          <w:noProof/>
          <w:szCs w:val="24"/>
          <w:lang w:val="en-GB"/>
        </w:rPr>
      </w:pPr>
      <w:r w:rsidRPr="00B67949">
        <w:rPr>
          <w:b/>
          <w:noProof/>
          <w:szCs w:val="24"/>
          <w:lang w:val="en-GB"/>
        </w:rPr>
        <w:t>Conclusion</w:t>
      </w:r>
    </w:p>
    <w:p w14:paraId="038FD93F" w14:textId="705CFE27" w:rsidR="00016C89" w:rsidRPr="00B67949" w:rsidRDefault="00AB4CC6" w:rsidP="00E15D25">
      <w:pPr>
        <w:pStyle w:val="Tijeloteksta"/>
        <w:spacing w:line="240" w:lineRule="auto"/>
        <w:rPr>
          <w:noProof/>
          <w:lang w:val="en-GB"/>
        </w:rPr>
      </w:pPr>
      <w:r w:rsidRPr="00B67949">
        <w:rPr>
          <w:noProof/>
          <w:lang w:val="en-GB"/>
        </w:rPr>
        <w:t>T</w:t>
      </w:r>
      <w:r w:rsidR="00A17E2A" w:rsidRPr="00B67949">
        <w:rPr>
          <w:noProof/>
          <w:lang w:val="en-GB"/>
        </w:rPr>
        <w:t xml:space="preserve">he dominance of A allele </w:t>
      </w:r>
      <w:r w:rsidR="00772D02">
        <w:rPr>
          <w:noProof/>
          <w:lang w:val="en-GB"/>
        </w:rPr>
        <w:t xml:space="preserve">(0.681) </w:t>
      </w:r>
      <w:r w:rsidR="00A17E2A" w:rsidRPr="00B67949">
        <w:rPr>
          <w:noProof/>
          <w:lang w:val="en-GB"/>
        </w:rPr>
        <w:t xml:space="preserve">of the GHR gene was </w:t>
      </w:r>
      <w:r w:rsidRPr="00B67949">
        <w:rPr>
          <w:noProof/>
          <w:lang w:val="en-GB"/>
        </w:rPr>
        <w:t>determined in the researched sample of heifer</w:t>
      </w:r>
      <w:r w:rsidR="00A17E2A" w:rsidRPr="00B67949">
        <w:rPr>
          <w:noProof/>
          <w:lang w:val="en-GB"/>
        </w:rPr>
        <w:t xml:space="preserve">. </w:t>
      </w:r>
      <w:bookmarkStart w:id="2" w:name="_Hlk527455084"/>
      <w:r w:rsidR="005B782F">
        <w:rPr>
          <w:lang w:val="en-GB"/>
        </w:rPr>
        <w:t>T</w:t>
      </w:r>
      <w:r w:rsidR="005B782F" w:rsidRPr="00772D02">
        <w:rPr>
          <w:lang w:val="en-GB"/>
        </w:rPr>
        <w:t xml:space="preserve">he </w:t>
      </w:r>
      <w:r w:rsidR="005B782F">
        <w:rPr>
          <w:lang w:val="en-GB"/>
        </w:rPr>
        <w:t>observed</w:t>
      </w:r>
      <w:r w:rsidR="005B782F" w:rsidRPr="00772D02">
        <w:rPr>
          <w:lang w:val="en-GB"/>
        </w:rPr>
        <w:t xml:space="preserve"> genotypes of </w:t>
      </w:r>
      <w:r w:rsidR="005B782F">
        <w:rPr>
          <w:lang w:val="en-GB"/>
        </w:rPr>
        <w:t>GHR gene</w:t>
      </w:r>
      <w:r w:rsidR="005B782F" w:rsidRPr="00772D02">
        <w:rPr>
          <w:lang w:val="en-GB"/>
        </w:rPr>
        <w:t xml:space="preserve"> statistically </w:t>
      </w:r>
      <w:r w:rsidR="00BA210E">
        <w:rPr>
          <w:lang w:val="en-GB"/>
        </w:rPr>
        <w:t xml:space="preserve">do not </w:t>
      </w:r>
      <w:r w:rsidR="005B782F" w:rsidRPr="00772D02">
        <w:rPr>
          <w:lang w:val="en-GB"/>
        </w:rPr>
        <w:t>deviate from Har</w:t>
      </w:r>
      <w:r w:rsidR="005B782F">
        <w:rPr>
          <w:lang w:val="en-GB"/>
        </w:rPr>
        <w:t>dy-Weinberg equilibrium</w:t>
      </w:r>
      <w:r w:rsidR="005B782F" w:rsidRPr="00772D02">
        <w:rPr>
          <w:lang w:val="en-GB"/>
        </w:rPr>
        <w:t>.</w:t>
      </w:r>
      <w:r w:rsidR="005B782F">
        <w:rPr>
          <w:lang w:val="en-GB"/>
        </w:rPr>
        <w:t xml:space="preserve"> </w:t>
      </w:r>
      <w:r w:rsidR="006C6C25" w:rsidRPr="00B67949">
        <w:rPr>
          <w:rFonts w:cs="Arial"/>
          <w:lang w:val="en-GB"/>
        </w:rPr>
        <w:t>GHR</w:t>
      </w:r>
      <w:r w:rsidR="006C6C25" w:rsidRPr="00B67949">
        <w:rPr>
          <w:rFonts w:cs="Arial"/>
          <w:vertAlign w:val="superscript"/>
          <w:lang w:val="en-GB"/>
        </w:rPr>
        <w:t>GG</w:t>
      </w:r>
      <w:r w:rsidR="006C6C25" w:rsidRPr="00B67949">
        <w:rPr>
          <w:noProof/>
          <w:lang w:val="en-GB"/>
        </w:rPr>
        <w:t xml:space="preserve"> </w:t>
      </w:r>
      <w:r w:rsidR="008C0DBF" w:rsidRPr="00B67949">
        <w:rPr>
          <w:noProof/>
          <w:lang w:val="en-GB"/>
        </w:rPr>
        <w:t xml:space="preserve">genotype </w:t>
      </w:r>
      <w:r w:rsidRPr="00B67949">
        <w:rPr>
          <w:noProof/>
          <w:lang w:val="en-GB"/>
        </w:rPr>
        <w:t xml:space="preserve">was </w:t>
      </w:r>
      <w:r w:rsidR="00772D02">
        <w:rPr>
          <w:noProof/>
          <w:lang w:val="en-GB"/>
        </w:rPr>
        <w:t>associated</w:t>
      </w:r>
      <w:r w:rsidR="00772D02" w:rsidRPr="00B67949">
        <w:rPr>
          <w:noProof/>
          <w:lang w:val="en-GB"/>
        </w:rPr>
        <w:t xml:space="preserve"> </w:t>
      </w:r>
      <w:r w:rsidRPr="00B67949">
        <w:rPr>
          <w:noProof/>
          <w:lang w:val="en-GB"/>
        </w:rPr>
        <w:t xml:space="preserve">with </w:t>
      </w:r>
      <w:r w:rsidR="008C0DBF" w:rsidRPr="00B67949">
        <w:rPr>
          <w:noProof/>
          <w:lang w:val="en-GB"/>
        </w:rPr>
        <w:t xml:space="preserve">higher </w:t>
      </w:r>
      <w:r w:rsidRPr="00B67949">
        <w:rPr>
          <w:noProof/>
          <w:lang w:val="en-GB"/>
        </w:rPr>
        <w:t xml:space="preserve">proportion of </w:t>
      </w:r>
      <w:r w:rsidR="008C0DBF" w:rsidRPr="00B67949">
        <w:rPr>
          <w:noProof/>
          <w:lang w:val="en-GB"/>
        </w:rPr>
        <w:t xml:space="preserve">muscle tissue and colagen </w:t>
      </w:r>
      <w:r w:rsidR="00772D02">
        <w:rPr>
          <w:noProof/>
          <w:lang w:val="en-GB"/>
        </w:rPr>
        <w:t>while</w:t>
      </w:r>
      <w:r w:rsidR="00772D02" w:rsidRPr="00B67949">
        <w:rPr>
          <w:noProof/>
          <w:lang w:val="en-GB"/>
        </w:rPr>
        <w:t xml:space="preserve"> </w:t>
      </w:r>
      <w:r w:rsidR="008C0DBF" w:rsidRPr="00B67949">
        <w:rPr>
          <w:noProof/>
          <w:lang w:val="en-GB"/>
        </w:rPr>
        <w:t xml:space="preserve">to </w:t>
      </w:r>
      <w:r w:rsidR="00772D02" w:rsidRPr="00B67949">
        <w:rPr>
          <w:rFonts w:cs="Arial"/>
          <w:lang w:val="en-GB"/>
        </w:rPr>
        <w:t>GHR</w:t>
      </w:r>
      <w:r w:rsidR="008C0DBF" w:rsidRPr="00BF378B">
        <w:rPr>
          <w:noProof/>
          <w:vertAlign w:val="superscript"/>
          <w:lang w:val="en-GB"/>
        </w:rPr>
        <w:t>AA</w:t>
      </w:r>
      <w:r w:rsidR="008C0DBF" w:rsidRPr="00B67949">
        <w:rPr>
          <w:noProof/>
          <w:lang w:val="en-GB"/>
        </w:rPr>
        <w:t xml:space="preserve"> genotype had higher </w:t>
      </w:r>
      <w:r w:rsidRPr="00B67949">
        <w:rPr>
          <w:noProof/>
          <w:lang w:val="en-GB"/>
        </w:rPr>
        <w:t xml:space="preserve">proportion of </w:t>
      </w:r>
      <w:r w:rsidR="008C0DBF" w:rsidRPr="00B67949">
        <w:rPr>
          <w:noProof/>
          <w:lang w:val="en-GB"/>
        </w:rPr>
        <w:t>fatty tissue.</w:t>
      </w:r>
      <w:r w:rsidR="005B782F">
        <w:rPr>
          <w:noProof/>
          <w:lang w:val="en-GB"/>
        </w:rPr>
        <w:t xml:space="preserve"> Substitution effect of G allele showes that one copy of this allele variant increases </w:t>
      </w:r>
      <w:r w:rsidR="00F3127C">
        <w:rPr>
          <w:noProof/>
          <w:lang w:val="en-GB"/>
        </w:rPr>
        <w:t xml:space="preserve">percenatge of </w:t>
      </w:r>
      <w:r w:rsidR="005B782F">
        <w:rPr>
          <w:noProof/>
          <w:lang w:val="en-GB"/>
        </w:rPr>
        <w:t xml:space="preserve">muscle tissue </w:t>
      </w:r>
      <w:r w:rsidR="00F3127C">
        <w:rPr>
          <w:noProof/>
          <w:lang w:val="en-GB"/>
        </w:rPr>
        <w:t>(</w:t>
      </w:r>
      <w:r w:rsidR="005B782F">
        <w:rPr>
          <w:noProof/>
          <w:lang w:val="en-GB"/>
        </w:rPr>
        <w:t>2.85</w:t>
      </w:r>
      <w:r w:rsidR="00F3127C">
        <w:rPr>
          <w:noProof/>
          <w:lang w:val="en-GB"/>
        </w:rPr>
        <w:t>%) and colagen (0.09%) and decreas</w:t>
      </w:r>
      <w:r w:rsidR="00340150">
        <w:rPr>
          <w:noProof/>
          <w:lang w:val="en-GB"/>
        </w:rPr>
        <w:t>es</w:t>
      </w:r>
      <w:r w:rsidR="00F3127C">
        <w:rPr>
          <w:noProof/>
          <w:lang w:val="en-GB"/>
        </w:rPr>
        <w:t xml:space="preserve"> fatt tissue </w:t>
      </w:r>
      <w:r w:rsidR="00340150">
        <w:rPr>
          <w:noProof/>
          <w:lang w:val="en-GB"/>
        </w:rPr>
        <w:t xml:space="preserve">percentage </w:t>
      </w:r>
      <w:r w:rsidR="00F3127C">
        <w:rPr>
          <w:noProof/>
          <w:lang w:val="en-GB"/>
        </w:rPr>
        <w:t xml:space="preserve">(2.85%). </w:t>
      </w:r>
      <w:r w:rsidR="0028350E" w:rsidRPr="00B67949">
        <w:rPr>
          <w:noProof/>
          <w:lang w:val="en-GB"/>
        </w:rPr>
        <w:t>R</w:t>
      </w:r>
      <w:r w:rsidR="00280E1A" w:rsidRPr="00B67949">
        <w:rPr>
          <w:noProof/>
          <w:lang w:val="en-GB"/>
        </w:rPr>
        <w:t xml:space="preserve">esults indicate the potential </w:t>
      </w:r>
      <w:r w:rsidR="00F905DB" w:rsidRPr="00B67949">
        <w:rPr>
          <w:lang w:val="en-GB"/>
        </w:rPr>
        <w:t>u</w:t>
      </w:r>
      <w:r w:rsidR="004D571C" w:rsidRPr="00B67949">
        <w:rPr>
          <w:lang w:val="en-GB"/>
        </w:rPr>
        <w:t xml:space="preserve">sage of GHR gene variants in cattle selection associated to carcass and meat quality. </w:t>
      </w:r>
    </w:p>
    <w:bookmarkEnd w:id="2"/>
    <w:p w14:paraId="408E03DA" w14:textId="77777777" w:rsidR="00CB4BAC" w:rsidRPr="00B67949" w:rsidRDefault="00CB4BAC" w:rsidP="00E15D25">
      <w:pPr>
        <w:pStyle w:val="Tijeloteksta"/>
        <w:spacing w:line="240" w:lineRule="auto"/>
        <w:rPr>
          <w:lang w:val="en-GB"/>
        </w:rPr>
      </w:pPr>
    </w:p>
    <w:p w14:paraId="2336A45A" w14:textId="77777777" w:rsidR="000B0277" w:rsidRPr="00B67949" w:rsidRDefault="001E2E1D" w:rsidP="000B0277">
      <w:pPr>
        <w:rPr>
          <w:b/>
          <w:noProof/>
          <w:szCs w:val="24"/>
          <w:lang w:val="en-GB"/>
        </w:rPr>
      </w:pPr>
      <w:r w:rsidRPr="00B67949">
        <w:rPr>
          <w:b/>
          <w:noProof/>
          <w:szCs w:val="24"/>
          <w:lang w:val="en-GB"/>
        </w:rPr>
        <w:t>References</w:t>
      </w:r>
    </w:p>
    <w:p w14:paraId="410723B0" w14:textId="77777777" w:rsidR="000B0C59" w:rsidRPr="00B67949" w:rsidRDefault="000B0C59" w:rsidP="000B0C59">
      <w:pPr>
        <w:pStyle w:val="literatura"/>
        <w:ind w:left="284" w:hanging="284"/>
        <w:rPr>
          <w:lang w:val="en-GB"/>
        </w:rPr>
      </w:pPr>
      <w:proofErr w:type="spellStart"/>
      <w:r w:rsidRPr="00B67949">
        <w:rPr>
          <w:lang w:val="en-GB"/>
        </w:rPr>
        <w:t>Ardicli</w:t>
      </w:r>
      <w:proofErr w:type="spellEnd"/>
      <w:r w:rsidRPr="00B67949">
        <w:rPr>
          <w:lang w:val="en-GB"/>
        </w:rPr>
        <w:t xml:space="preserve"> S., </w:t>
      </w:r>
      <w:proofErr w:type="spellStart"/>
      <w:r w:rsidRPr="00B67949">
        <w:rPr>
          <w:lang w:val="en-GB"/>
        </w:rPr>
        <w:t>Samli</w:t>
      </w:r>
      <w:proofErr w:type="spellEnd"/>
      <w:r w:rsidRPr="00B67949">
        <w:rPr>
          <w:lang w:val="en-GB"/>
        </w:rPr>
        <w:t xml:space="preserve"> H., </w:t>
      </w:r>
      <w:proofErr w:type="spellStart"/>
      <w:r w:rsidRPr="00B67949">
        <w:rPr>
          <w:lang w:val="en-GB"/>
        </w:rPr>
        <w:t>Dincel</w:t>
      </w:r>
      <w:proofErr w:type="spellEnd"/>
      <w:r w:rsidRPr="00B67949">
        <w:rPr>
          <w:lang w:val="en-GB"/>
        </w:rPr>
        <w:t xml:space="preserve"> D., </w:t>
      </w:r>
      <w:proofErr w:type="spellStart"/>
      <w:r w:rsidRPr="00B67949">
        <w:rPr>
          <w:lang w:val="en-GB"/>
        </w:rPr>
        <w:t>Soyudal</w:t>
      </w:r>
      <w:proofErr w:type="spellEnd"/>
      <w:r w:rsidRPr="00B67949">
        <w:rPr>
          <w:lang w:val="en-GB"/>
        </w:rPr>
        <w:t xml:space="preserve"> B., </w:t>
      </w:r>
      <w:proofErr w:type="spellStart"/>
      <w:r w:rsidRPr="00B67949">
        <w:rPr>
          <w:lang w:val="en-GB"/>
        </w:rPr>
        <w:t>Balci</w:t>
      </w:r>
      <w:proofErr w:type="spellEnd"/>
      <w:r w:rsidRPr="00B67949">
        <w:rPr>
          <w:lang w:val="en-GB"/>
        </w:rPr>
        <w:t xml:space="preserve"> F. (2017). Individual and combined effects of CAPN1, CAST, LEP and GHR gene polymorphisms on carcass characteristics and meat quality in Holstein bulls. Arch. Anim. Breed. Vol (60): 303-313. </w:t>
      </w:r>
    </w:p>
    <w:p w14:paraId="3855365E" w14:textId="77777777" w:rsidR="000B0C59" w:rsidRPr="00B67949" w:rsidRDefault="000B0C59" w:rsidP="000B0C59">
      <w:pPr>
        <w:pStyle w:val="literatura"/>
        <w:ind w:left="284" w:hanging="284"/>
        <w:rPr>
          <w:lang w:val="en-GB"/>
        </w:rPr>
      </w:pPr>
      <w:r w:rsidRPr="00B67949">
        <w:rPr>
          <w:lang w:val="en-GB"/>
        </w:rPr>
        <w:t xml:space="preserve">Di </w:t>
      </w:r>
      <w:proofErr w:type="spellStart"/>
      <w:r w:rsidRPr="00B67949">
        <w:rPr>
          <w:lang w:val="en-GB"/>
        </w:rPr>
        <w:t>Stasio</w:t>
      </w:r>
      <w:proofErr w:type="spellEnd"/>
      <w:r w:rsidRPr="00B67949">
        <w:rPr>
          <w:lang w:val="en-GB"/>
        </w:rPr>
        <w:t xml:space="preserve"> L., </w:t>
      </w:r>
      <w:proofErr w:type="spellStart"/>
      <w:r w:rsidRPr="00B67949">
        <w:rPr>
          <w:lang w:val="en-GB"/>
        </w:rPr>
        <w:t>Destefanis</w:t>
      </w:r>
      <w:proofErr w:type="spellEnd"/>
      <w:r w:rsidRPr="00B67949">
        <w:rPr>
          <w:lang w:val="en-GB"/>
        </w:rPr>
        <w:t xml:space="preserve"> G., </w:t>
      </w:r>
      <w:proofErr w:type="spellStart"/>
      <w:r w:rsidRPr="00B67949">
        <w:rPr>
          <w:lang w:val="en-GB"/>
        </w:rPr>
        <w:t>Brugiapaglia</w:t>
      </w:r>
      <w:proofErr w:type="spellEnd"/>
      <w:r w:rsidRPr="00B67949">
        <w:rPr>
          <w:lang w:val="en-GB"/>
        </w:rPr>
        <w:t xml:space="preserve"> A., </w:t>
      </w:r>
      <w:proofErr w:type="spellStart"/>
      <w:r w:rsidRPr="00B67949">
        <w:rPr>
          <w:lang w:val="en-GB"/>
        </w:rPr>
        <w:t>Albera</w:t>
      </w:r>
      <w:proofErr w:type="spellEnd"/>
      <w:r w:rsidRPr="00B67949">
        <w:rPr>
          <w:lang w:val="en-GB"/>
        </w:rPr>
        <w:t xml:space="preserve"> A., Rolando A. (2005). Polymorphism of the GHR gene in cattle and relationships with meat production and quality. Animal Genetics. Vol (36): 138-140.</w:t>
      </w:r>
    </w:p>
    <w:p w14:paraId="38137D34" w14:textId="77777777" w:rsidR="000B0C59" w:rsidRPr="00B67949" w:rsidRDefault="000B0C59" w:rsidP="000B0C59">
      <w:pPr>
        <w:pStyle w:val="literatura"/>
        <w:ind w:left="284" w:hanging="284"/>
        <w:rPr>
          <w:lang w:val="en-GB"/>
        </w:rPr>
      </w:pPr>
      <w:r w:rsidRPr="00B67949">
        <w:rPr>
          <w:lang w:val="en-GB"/>
        </w:rPr>
        <w:t>Ge W., Davis M.E., Hines H.C., Irvin K.M. (2000). Rapid communication: single nucleotide polymorphisms detected in exon 10 of the bovine growth hormone receptor gene. Journal of Animal Science (78): 2229-2230.</w:t>
      </w:r>
    </w:p>
    <w:p w14:paraId="5EB7118D" w14:textId="77777777" w:rsidR="000B0C59" w:rsidRPr="00B67949" w:rsidRDefault="000B0C59" w:rsidP="000B0C59">
      <w:pPr>
        <w:pStyle w:val="literatura"/>
        <w:ind w:left="284" w:hanging="284"/>
        <w:rPr>
          <w:lang w:val="en-GB"/>
        </w:rPr>
      </w:pPr>
      <w:proofErr w:type="spellStart"/>
      <w:r w:rsidRPr="00B67949">
        <w:rPr>
          <w:lang w:val="en-GB"/>
        </w:rPr>
        <w:t>Hadi</w:t>
      </w:r>
      <w:proofErr w:type="spellEnd"/>
      <w:r w:rsidRPr="00B67949">
        <w:rPr>
          <w:lang w:val="en-GB"/>
        </w:rPr>
        <w:t xml:space="preserve"> Z., </w:t>
      </w:r>
      <w:proofErr w:type="spellStart"/>
      <w:r w:rsidRPr="00B67949">
        <w:rPr>
          <w:lang w:val="en-GB"/>
        </w:rPr>
        <w:t>Atashi</w:t>
      </w:r>
      <w:proofErr w:type="spellEnd"/>
      <w:r w:rsidRPr="00B67949">
        <w:rPr>
          <w:lang w:val="en-GB"/>
        </w:rPr>
        <w:t xml:space="preserve"> H., </w:t>
      </w:r>
      <w:proofErr w:type="spellStart"/>
      <w:r w:rsidRPr="00B67949">
        <w:rPr>
          <w:lang w:val="en-GB"/>
        </w:rPr>
        <w:t>Dadpasand</w:t>
      </w:r>
      <w:proofErr w:type="spellEnd"/>
      <w:r w:rsidRPr="00B67949">
        <w:rPr>
          <w:lang w:val="en-GB"/>
        </w:rPr>
        <w:t xml:space="preserve"> M., </w:t>
      </w:r>
      <w:proofErr w:type="spellStart"/>
      <w:r w:rsidRPr="00B67949">
        <w:rPr>
          <w:lang w:val="en-GB"/>
        </w:rPr>
        <w:t>Derakhshandeh</w:t>
      </w:r>
      <w:proofErr w:type="spellEnd"/>
      <w:r w:rsidRPr="00B67949">
        <w:rPr>
          <w:lang w:val="en-GB"/>
        </w:rPr>
        <w:t xml:space="preserve"> A., </w:t>
      </w:r>
      <w:proofErr w:type="spellStart"/>
      <w:r w:rsidRPr="00B67949">
        <w:rPr>
          <w:lang w:val="en-GB"/>
        </w:rPr>
        <w:t>Ghahramani</w:t>
      </w:r>
      <w:proofErr w:type="spellEnd"/>
      <w:r w:rsidRPr="00B67949">
        <w:rPr>
          <w:lang w:val="en-GB"/>
        </w:rPr>
        <w:t xml:space="preserve"> Seno M.M. (2015). The relationship between growth hormone polymorphism and growth hormone receptor genes with milk yield and reproductive performance in Holstein dairy cows. Iran Journal of Veterinary Research. Vol (16): 224-248.</w:t>
      </w:r>
    </w:p>
    <w:p w14:paraId="30292A03" w14:textId="77777777" w:rsidR="000B0C59" w:rsidRPr="00B67949" w:rsidRDefault="000B0C59" w:rsidP="000B0C59">
      <w:pPr>
        <w:pStyle w:val="literatura"/>
        <w:ind w:left="284" w:hanging="284"/>
        <w:rPr>
          <w:lang w:val="en-GB"/>
        </w:rPr>
      </w:pPr>
      <w:r w:rsidRPr="00B67949">
        <w:rPr>
          <w:lang w:val="en-GB"/>
        </w:rPr>
        <w:t xml:space="preserve">Hale C.S., Herring W.O., Shibuya H., Lucy M.C., </w:t>
      </w:r>
      <w:proofErr w:type="spellStart"/>
      <w:r w:rsidRPr="00B67949">
        <w:rPr>
          <w:lang w:val="en-GB"/>
        </w:rPr>
        <w:t>Lubahn</w:t>
      </w:r>
      <w:proofErr w:type="spellEnd"/>
      <w:r w:rsidRPr="00B67949">
        <w:rPr>
          <w:lang w:val="en-GB"/>
        </w:rPr>
        <w:t xml:space="preserve"> D.B., </w:t>
      </w:r>
      <w:proofErr w:type="spellStart"/>
      <w:r w:rsidRPr="00B67949">
        <w:rPr>
          <w:lang w:val="en-GB"/>
        </w:rPr>
        <w:t>Keisler</w:t>
      </w:r>
      <w:proofErr w:type="spellEnd"/>
      <w:r w:rsidRPr="00B67949">
        <w:rPr>
          <w:lang w:val="en-GB"/>
        </w:rPr>
        <w:t xml:space="preserve"> D.H., Johnson G.S. (2000). Decreased growth in Angus steers with a short TG-microsatellite allele in the P1 promoter of growth hormone receptor gene. Journal of Animal Science (78): 2099-2104.</w:t>
      </w:r>
    </w:p>
    <w:p w14:paraId="363D7C1F" w14:textId="77777777" w:rsidR="000B0C59" w:rsidRPr="00B67949" w:rsidRDefault="000B0C59" w:rsidP="000B0C59">
      <w:pPr>
        <w:pStyle w:val="literatura"/>
        <w:ind w:left="284" w:hanging="284"/>
        <w:rPr>
          <w:lang w:val="en-GB"/>
        </w:rPr>
      </w:pPr>
      <w:r w:rsidRPr="00B67949">
        <w:rPr>
          <w:lang w:val="en-GB"/>
        </w:rPr>
        <w:t xml:space="preserve">Han S.H., Cho I.C., Kim J.H., Ko M.S., </w:t>
      </w:r>
      <w:proofErr w:type="spellStart"/>
      <w:r w:rsidRPr="00B67949">
        <w:rPr>
          <w:lang w:val="en-GB"/>
        </w:rPr>
        <w:t>Jeong</w:t>
      </w:r>
      <w:proofErr w:type="spellEnd"/>
      <w:r w:rsidRPr="00B67949">
        <w:rPr>
          <w:lang w:val="en-GB"/>
        </w:rPr>
        <w:t xml:space="preserve"> H.Y., Oh H.S., and Lee S.S. (2009). A GHR </w:t>
      </w:r>
      <w:proofErr w:type="spellStart"/>
      <w:r w:rsidRPr="00B67949">
        <w:rPr>
          <w:lang w:val="en-GB"/>
        </w:rPr>
        <w:t>Polymorpism</w:t>
      </w:r>
      <w:proofErr w:type="spellEnd"/>
      <w:r w:rsidRPr="00B67949">
        <w:rPr>
          <w:lang w:val="en-GB"/>
        </w:rPr>
        <w:t xml:space="preserve"> and Its Associations with Carcass Traits in </w:t>
      </w:r>
      <w:proofErr w:type="spellStart"/>
      <w:r w:rsidRPr="00B67949">
        <w:rPr>
          <w:lang w:val="en-GB"/>
        </w:rPr>
        <w:t>Hanwoo</w:t>
      </w:r>
      <w:proofErr w:type="spellEnd"/>
      <w:r w:rsidRPr="00B67949">
        <w:rPr>
          <w:lang w:val="en-GB"/>
        </w:rPr>
        <w:t xml:space="preserve"> Cattle. Genes &amp; Genomics. Vol (31-1): 35-45. </w:t>
      </w:r>
    </w:p>
    <w:p w14:paraId="6FCF9297" w14:textId="77777777" w:rsidR="000B0C59" w:rsidRPr="00B67949" w:rsidRDefault="000B0C59" w:rsidP="000B0C59">
      <w:pPr>
        <w:pStyle w:val="literatura"/>
        <w:ind w:left="284" w:hanging="284"/>
        <w:rPr>
          <w:lang w:val="en-GB"/>
        </w:rPr>
      </w:pPr>
      <w:r w:rsidRPr="00B67949">
        <w:rPr>
          <w:lang w:val="en-GB"/>
        </w:rPr>
        <w:lastRenderedPageBreak/>
        <w:t xml:space="preserve">Lucy M.C., </w:t>
      </w:r>
      <w:proofErr w:type="spellStart"/>
      <w:r w:rsidRPr="00B67949">
        <w:rPr>
          <w:lang w:val="en-GB"/>
        </w:rPr>
        <w:t>Johnsson</w:t>
      </w:r>
      <w:proofErr w:type="spellEnd"/>
      <w:r w:rsidRPr="00B67949">
        <w:rPr>
          <w:lang w:val="en-GB"/>
        </w:rPr>
        <w:t xml:space="preserve"> G.S., Shibuya H., Boyd C.K., Herring W.O., </w:t>
      </w:r>
      <w:proofErr w:type="spellStart"/>
      <w:r w:rsidRPr="00B67949">
        <w:rPr>
          <w:lang w:val="en-GB"/>
        </w:rPr>
        <w:t>Werin</w:t>
      </w:r>
      <w:proofErr w:type="spellEnd"/>
      <w:r w:rsidRPr="00B67949">
        <w:rPr>
          <w:lang w:val="en-GB"/>
        </w:rPr>
        <w:t>, M. (1998). Rapid communication: Polymorphic (GT)n microsatellite in the bovine somatotropin receptor gene promoter. Journal of Animal Science (76): 2209-2210.</w:t>
      </w:r>
    </w:p>
    <w:p w14:paraId="0937A930" w14:textId="77777777" w:rsidR="000B0C59" w:rsidRPr="00B67949" w:rsidRDefault="000B0C59" w:rsidP="000B0C59">
      <w:pPr>
        <w:pStyle w:val="literatura"/>
        <w:ind w:left="284" w:hanging="284"/>
        <w:rPr>
          <w:lang w:val="en-GB"/>
        </w:rPr>
      </w:pPr>
      <w:r w:rsidRPr="00B67949">
        <w:rPr>
          <w:lang w:val="en-GB"/>
        </w:rPr>
        <w:t>Reardon W., Mullen A., Sweeney T., Hamill R. (2010). Association of polymorphisms in candidate genes with colour, water-holding capacity, and composition traits in bovine M. longissimus and M. semimembranosus. Meat science. Vol (86): 270-275.</w:t>
      </w:r>
    </w:p>
    <w:p w14:paraId="37625381" w14:textId="1B12BADA" w:rsidR="000B0C59" w:rsidRPr="00B67949" w:rsidRDefault="000B0C59" w:rsidP="000B0C59">
      <w:pPr>
        <w:ind w:left="284" w:hanging="284"/>
        <w:rPr>
          <w:color w:val="000000" w:themeColor="text1"/>
          <w:lang w:val="en-GB"/>
        </w:rPr>
      </w:pPr>
      <w:r w:rsidRPr="00B67949">
        <w:rPr>
          <w:color w:val="000000" w:themeColor="text1"/>
          <w:lang w:val="en-GB"/>
        </w:rPr>
        <w:t>SAS (1999)</w:t>
      </w:r>
      <w:r w:rsidR="00B22A1F">
        <w:rPr>
          <w:color w:val="000000" w:themeColor="text1"/>
          <w:lang w:val="en-GB"/>
        </w:rPr>
        <w:t>.</w:t>
      </w:r>
      <w:r w:rsidRPr="00B67949">
        <w:rPr>
          <w:color w:val="000000" w:themeColor="text1"/>
          <w:lang w:val="en-GB"/>
        </w:rPr>
        <w:t xml:space="preserve"> </w:t>
      </w:r>
      <w:proofErr w:type="spellStart"/>
      <w:r w:rsidRPr="00B67949">
        <w:rPr>
          <w:color w:val="000000" w:themeColor="text1"/>
          <w:lang w:val="en-GB"/>
        </w:rPr>
        <w:t>OnlineDoc</w:t>
      </w:r>
      <w:proofErr w:type="spellEnd"/>
      <w:r w:rsidRPr="00B67949">
        <w:rPr>
          <w:color w:val="000000" w:themeColor="text1"/>
          <w:lang w:val="en-GB"/>
        </w:rPr>
        <w:t>® Software Release 8. SAS Institute Inc., Cary, NC, USA.</w:t>
      </w:r>
    </w:p>
    <w:p w14:paraId="1653EBA6" w14:textId="77777777" w:rsidR="008631EA" w:rsidRPr="00B67949" w:rsidRDefault="008631EA" w:rsidP="003A72D2">
      <w:pPr>
        <w:pStyle w:val="literatura"/>
        <w:ind w:left="284" w:hanging="284"/>
        <w:rPr>
          <w:lang w:val="en-GB"/>
        </w:rPr>
      </w:pPr>
    </w:p>
    <w:p w14:paraId="2C840D02" w14:textId="77777777" w:rsidR="00D901E5" w:rsidRPr="00B67949" w:rsidRDefault="00D901E5" w:rsidP="00D901E5">
      <w:pPr>
        <w:pStyle w:val="literatura"/>
        <w:ind w:firstLine="0"/>
        <w:rPr>
          <w:lang w:val="en-GB" w:eastAsia="hr-HR"/>
        </w:rPr>
      </w:pPr>
    </w:p>
    <w:p w14:paraId="60F3C710" w14:textId="77777777" w:rsidR="00835696" w:rsidRPr="00B67949" w:rsidRDefault="00BB2AC6" w:rsidP="00814B0A">
      <w:pPr>
        <w:rPr>
          <w:b/>
          <w:noProof/>
          <w:szCs w:val="24"/>
          <w:lang w:val="en-GB"/>
        </w:rPr>
      </w:pPr>
      <w:r w:rsidRPr="00B67949">
        <w:rPr>
          <w:b/>
          <w:noProof/>
          <w:lang w:val="en-GB"/>
        </w:rPr>
        <w:t xml:space="preserve">Učinak polimorfizma GHR gena na </w:t>
      </w:r>
      <w:r w:rsidR="00870639" w:rsidRPr="00B67949">
        <w:rPr>
          <w:b/>
          <w:noProof/>
          <w:lang w:val="en-GB"/>
        </w:rPr>
        <w:t>rast i kvalitetu trupova junica</w:t>
      </w:r>
    </w:p>
    <w:p w14:paraId="032899A4" w14:textId="77777777" w:rsidR="00835696" w:rsidRPr="00B67949" w:rsidRDefault="00835696" w:rsidP="00814B0A">
      <w:pPr>
        <w:rPr>
          <w:b/>
          <w:noProof/>
          <w:szCs w:val="24"/>
          <w:lang w:val="en-GB"/>
        </w:rPr>
      </w:pPr>
    </w:p>
    <w:p w14:paraId="479AE079" w14:textId="77777777" w:rsidR="00BD107C" w:rsidRPr="00B67949" w:rsidRDefault="00253DA4" w:rsidP="00814B0A">
      <w:pPr>
        <w:rPr>
          <w:b/>
          <w:noProof/>
          <w:szCs w:val="24"/>
          <w:lang w:val="en-GB"/>
        </w:rPr>
      </w:pPr>
      <w:r w:rsidRPr="00B67949">
        <w:rPr>
          <w:b/>
          <w:noProof/>
          <w:szCs w:val="24"/>
          <w:lang w:val="en-GB"/>
        </w:rPr>
        <w:t>Sažetak</w:t>
      </w:r>
    </w:p>
    <w:p w14:paraId="1BA26F22" w14:textId="5651A698" w:rsidR="00814B0A" w:rsidRPr="00B67949" w:rsidRDefault="00253DA4" w:rsidP="00814B0A">
      <w:pPr>
        <w:rPr>
          <w:lang w:val="en-GB"/>
        </w:rPr>
      </w:pPr>
      <w:proofErr w:type="spellStart"/>
      <w:r w:rsidRPr="00B67949">
        <w:rPr>
          <w:lang w:val="en-GB"/>
        </w:rPr>
        <w:t>Istraživanje</w:t>
      </w:r>
      <w:proofErr w:type="spellEnd"/>
      <w:r w:rsidRPr="00B67949">
        <w:rPr>
          <w:lang w:val="en-GB"/>
        </w:rPr>
        <w:t xml:space="preserve"> je </w:t>
      </w:r>
      <w:proofErr w:type="spellStart"/>
      <w:r w:rsidR="007F70B9" w:rsidRPr="00B67949">
        <w:rPr>
          <w:lang w:val="en-GB"/>
        </w:rPr>
        <w:t>provedeno</w:t>
      </w:r>
      <w:proofErr w:type="spellEnd"/>
      <w:r w:rsidR="007F70B9" w:rsidRPr="00B67949">
        <w:rPr>
          <w:lang w:val="en-GB"/>
        </w:rPr>
        <w:t xml:space="preserve"> </w:t>
      </w:r>
      <w:proofErr w:type="spellStart"/>
      <w:r w:rsidR="007F70B9" w:rsidRPr="00B67949">
        <w:rPr>
          <w:lang w:val="en-GB"/>
        </w:rPr>
        <w:t>radi</w:t>
      </w:r>
      <w:proofErr w:type="spellEnd"/>
      <w:r w:rsidR="007F70B9" w:rsidRPr="00B67949">
        <w:rPr>
          <w:lang w:val="en-GB"/>
        </w:rPr>
        <w:t xml:space="preserve"> </w:t>
      </w:r>
      <w:proofErr w:type="spellStart"/>
      <w:r w:rsidR="007F70B9" w:rsidRPr="00B67949">
        <w:rPr>
          <w:lang w:val="en-GB"/>
        </w:rPr>
        <w:t>utvrđivanja</w:t>
      </w:r>
      <w:proofErr w:type="spellEnd"/>
      <w:r w:rsidR="007F70B9" w:rsidRPr="00B67949">
        <w:rPr>
          <w:lang w:val="en-GB"/>
        </w:rPr>
        <w:t xml:space="preserve"> </w:t>
      </w:r>
      <w:proofErr w:type="spellStart"/>
      <w:r w:rsidR="007F70B9" w:rsidRPr="00B67949">
        <w:rPr>
          <w:lang w:val="en-GB"/>
        </w:rPr>
        <w:t>udjela</w:t>
      </w:r>
      <w:proofErr w:type="spellEnd"/>
      <w:r w:rsidR="007F70B9" w:rsidRPr="00B67949">
        <w:rPr>
          <w:lang w:val="en-GB"/>
        </w:rPr>
        <w:t xml:space="preserve"> </w:t>
      </w:r>
      <w:r w:rsidRPr="00B67949">
        <w:rPr>
          <w:lang w:val="en-GB"/>
        </w:rPr>
        <w:t>aleln</w:t>
      </w:r>
      <w:r w:rsidR="003F6394">
        <w:rPr>
          <w:lang w:val="en-GB"/>
        </w:rPr>
        <w:t>ih</w:t>
      </w:r>
      <w:r w:rsidRPr="00B67949">
        <w:rPr>
          <w:lang w:val="en-GB"/>
        </w:rPr>
        <w:t xml:space="preserve"> </w:t>
      </w:r>
      <w:proofErr w:type="spellStart"/>
      <w:r w:rsidRPr="00B67949">
        <w:rPr>
          <w:lang w:val="en-GB"/>
        </w:rPr>
        <w:t>varijant</w:t>
      </w:r>
      <w:r w:rsidR="007F70B9" w:rsidRPr="00B67949">
        <w:rPr>
          <w:lang w:val="en-GB"/>
        </w:rPr>
        <w:t>i</w:t>
      </w:r>
      <w:proofErr w:type="spellEnd"/>
      <w:r w:rsidRPr="00B67949">
        <w:rPr>
          <w:lang w:val="en-GB"/>
        </w:rPr>
        <w:t xml:space="preserve"> GHR </w:t>
      </w:r>
      <w:proofErr w:type="spellStart"/>
      <w:r w:rsidRPr="00B67949">
        <w:rPr>
          <w:lang w:val="en-GB"/>
        </w:rPr>
        <w:t>gena</w:t>
      </w:r>
      <w:proofErr w:type="spellEnd"/>
      <w:r w:rsidRPr="00B67949">
        <w:rPr>
          <w:lang w:val="en-GB"/>
        </w:rPr>
        <w:t xml:space="preserve"> u </w:t>
      </w:r>
      <w:proofErr w:type="spellStart"/>
      <w:r w:rsidRPr="00B67949">
        <w:rPr>
          <w:lang w:val="en-GB"/>
        </w:rPr>
        <w:t>populaciji</w:t>
      </w:r>
      <w:proofErr w:type="spellEnd"/>
      <w:r w:rsidRPr="00B67949">
        <w:rPr>
          <w:lang w:val="en-GB"/>
        </w:rPr>
        <w:t xml:space="preserve"> simental</w:t>
      </w:r>
      <w:r w:rsidR="007F70B9" w:rsidRPr="00B67949">
        <w:rPr>
          <w:lang w:val="en-GB"/>
        </w:rPr>
        <w:t>s</w:t>
      </w:r>
      <w:r w:rsidRPr="00B67949">
        <w:rPr>
          <w:lang w:val="en-GB"/>
        </w:rPr>
        <w:t>k</w:t>
      </w:r>
      <w:r w:rsidR="007F70B9" w:rsidRPr="00B67949">
        <w:rPr>
          <w:lang w:val="en-GB"/>
        </w:rPr>
        <w:t>ih</w:t>
      </w:r>
      <w:r w:rsidR="00D93E21" w:rsidRPr="00B67949">
        <w:rPr>
          <w:lang w:val="en-GB"/>
        </w:rPr>
        <w:t xml:space="preserve"> </w:t>
      </w:r>
      <w:proofErr w:type="spellStart"/>
      <w:r w:rsidR="00D93E21" w:rsidRPr="00B67949">
        <w:rPr>
          <w:lang w:val="en-GB"/>
        </w:rPr>
        <w:t>junica</w:t>
      </w:r>
      <w:proofErr w:type="spellEnd"/>
      <w:r w:rsidRPr="00B67949">
        <w:rPr>
          <w:lang w:val="en-GB"/>
        </w:rPr>
        <w:t xml:space="preserve"> </w:t>
      </w:r>
      <w:proofErr w:type="spellStart"/>
      <w:r w:rsidRPr="00B67949">
        <w:rPr>
          <w:lang w:val="en-GB"/>
        </w:rPr>
        <w:t>i</w:t>
      </w:r>
      <w:proofErr w:type="spellEnd"/>
      <w:r w:rsidRPr="00B67949">
        <w:rPr>
          <w:lang w:val="en-GB"/>
        </w:rPr>
        <w:t xml:space="preserve"> </w:t>
      </w:r>
      <w:proofErr w:type="spellStart"/>
      <w:r w:rsidR="00D93E21" w:rsidRPr="00B67949">
        <w:rPr>
          <w:lang w:val="en-GB"/>
        </w:rPr>
        <w:t>križanaca</w:t>
      </w:r>
      <w:proofErr w:type="spellEnd"/>
      <w:r w:rsidR="00D93E21" w:rsidRPr="00B67949">
        <w:rPr>
          <w:lang w:val="en-GB"/>
        </w:rPr>
        <w:t xml:space="preserve"> </w:t>
      </w:r>
      <w:r w:rsidRPr="00B67949">
        <w:rPr>
          <w:lang w:val="en-GB"/>
        </w:rPr>
        <w:t xml:space="preserve">simentalskih </w:t>
      </w:r>
      <w:r w:rsidR="007F70B9" w:rsidRPr="00B67949">
        <w:rPr>
          <w:lang w:val="en-GB"/>
        </w:rPr>
        <w:t>×</w:t>
      </w:r>
      <w:r w:rsidR="00A2119E" w:rsidRPr="00B67949">
        <w:rPr>
          <w:lang w:val="en-GB"/>
        </w:rPr>
        <w:t xml:space="preserve"> </w:t>
      </w:r>
      <w:r w:rsidR="007F70B9" w:rsidRPr="00B67949">
        <w:rPr>
          <w:lang w:val="en-GB"/>
        </w:rPr>
        <w:t>H</w:t>
      </w:r>
      <w:r w:rsidR="00A2119E" w:rsidRPr="00B67949">
        <w:rPr>
          <w:lang w:val="en-GB"/>
        </w:rPr>
        <w:t>olstein</w:t>
      </w:r>
      <w:r w:rsidRPr="00B67949">
        <w:rPr>
          <w:lang w:val="en-GB"/>
        </w:rPr>
        <w:t xml:space="preserve"> </w:t>
      </w:r>
      <w:proofErr w:type="spellStart"/>
      <w:r w:rsidRPr="00B67949">
        <w:rPr>
          <w:lang w:val="en-GB"/>
        </w:rPr>
        <w:t>junica</w:t>
      </w:r>
      <w:proofErr w:type="spellEnd"/>
      <w:r w:rsidR="006C6C25" w:rsidRPr="00B67949">
        <w:rPr>
          <w:lang w:val="en-GB"/>
        </w:rPr>
        <w:t xml:space="preserve">, </w:t>
      </w:r>
      <w:proofErr w:type="spellStart"/>
      <w:r w:rsidR="00A2119E" w:rsidRPr="00B67949">
        <w:rPr>
          <w:lang w:val="en-GB"/>
        </w:rPr>
        <w:t>te</w:t>
      </w:r>
      <w:proofErr w:type="spellEnd"/>
      <w:r w:rsidRPr="00B67949">
        <w:rPr>
          <w:lang w:val="en-GB"/>
        </w:rPr>
        <w:t xml:space="preserve"> </w:t>
      </w:r>
      <w:proofErr w:type="spellStart"/>
      <w:r w:rsidRPr="00B67949">
        <w:rPr>
          <w:lang w:val="en-GB"/>
        </w:rPr>
        <w:t>povezanost</w:t>
      </w:r>
      <w:r w:rsidR="006311B3" w:rsidRPr="00B67949">
        <w:rPr>
          <w:lang w:val="en-GB"/>
        </w:rPr>
        <w:t>i</w:t>
      </w:r>
      <w:proofErr w:type="spellEnd"/>
      <w:r w:rsidRPr="00B67949">
        <w:rPr>
          <w:lang w:val="en-GB"/>
        </w:rPr>
        <w:t xml:space="preserve"> </w:t>
      </w:r>
      <w:r w:rsidR="007F70B9" w:rsidRPr="00B67949">
        <w:rPr>
          <w:lang w:val="en-GB"/>
        </w:rPr>
        <w:t xml:space="preserve">alelnih </w:t>
      </w:r>
      <w:proofErr w:type="spellStart"/>
      <w:r w:rsidR="007F70B9" w:rsidRPr="00B67949">
        <w:rPr>
          <w:lang w:val="en-GB"/>
        </w:rPr>
        <w:t>varijanti</w:t>
      </w:r>
      <w:proofErr w:type="spellEnd"/>
      <w:r w:rsidR="007F70B9" w:rsidRPr="00B67949">
        <w:rPr>
          <w:lang w:val="en-GB"/>
        </w:rPr>
        <w:t xml:space="preserve"> </w:t>
      </w:r>
      <w:r w:rsidR="006311B3" w:rsidRPr="00B67949">
        <w:rPr>
          <w:lang w:val="en-GB"/>
        </w:rPr>
        <w:t xml:space="preserve">GHR </w:t>
      </w:r>
      <w:proofErr w:type="spellStart"/>
      <w:r w:rsidR="007F70B9" w:rsidRPr="00B67949">
        <w:rPr>
          <w:lang w:val="en-GB"/>
        </w:rPr>
        <w:t>gena</w:t>
      </w:r>
      <w:proofErr w:type="spellEnd"/>
      <w:r w:rsidR="007F70B9" w:rsidRPr="00B67949">
        <w:rPr>
          <w:lang w:val="en-GB"/>
        </w:rPr>
        <w:t xml:space="preserve"> </w:t>
      </w:r>
      <w:proofErr w:type="spellStart"/>
      <w:r w:rsidR="007F70B9" w:rsidRPr="00B67949">
        <w:rPr>
          <w:lang w:val="en-GB"/>
        </w:rPr>
        <w:t>i</w:t>
      </w:r>
      <w:proofErr w:type="spellEnd"/>
      <w:r w:rsidR="007F70B9" w:rsidRPr="00B67949">
        <w:rPr>
          <w:lang w:val="en-GB"/>
        </w:rPr>
        <w:t xml:space="preserve"> </w:t>
      </w:r>
      <w:proofErr w:type="spellStart"/>
      <w:r w:rsidR="007F70B9" w:rsidRPr="00B67949">
        <w:rPr>
          <w:lang w:val="en-GB"/>
        </w:rPr>
        <w:t>genotipova</w:t>
      </w:r>
      <w:proofErr w:type="spellEnd"/>
      <w:r w:rsidR="007F70B9" w:rsidRPr="00B67949">
        <w:rPr>
          <w:lang w:val="en-GB"/>
        </w:rPr>
        <w:t xml:space="preserve"> s</w:t>
      </w:r>
      <w:r w:rsidRPr="00B67949">
        <w:rPr>
          <w:lang w:val="en-GB"/>
        </w:rPr>
        <w:t xml:space="preserve"> </w:t>
      </w:r>
      <w:proofErr w:type="spellStart"/>
      <w:r w:rsidR="007F70B9" w:rsidRPr="00B67949">
        <w:rPr>
          <w:lang w:val="en-GB"/>
        </w:rPr>
        <w:t>odlikama</w:t>
      </w:r>
      <w:proofErr w:type="spellEnd"/>
      <w:r w:rsidRPr="00B67949">
        <w:rPr>
          <w:lang w:val="en-GB"/>
        </w:rPr>
        <w:t xml:space="preserve"> </w:t>
      </w:r>
      <w:proofErr w:type="spellStart"/>
      <w:r w:rsidRPr="00B67949">
        <w:rPr>
          <w:lang w:val="en-GB"/>
        </w:rPr>
        <w:t>rasta</w:t>
      </w:r>
      <w:proofErr w:type="spellEnd"/>
      <w:r w:rsidR="006C6C25" w:rsidRPr="00B67949">
        <w:rPr>
          <w:lang w:val="en-GB"/>
        </w:rPr>
        <w:t>,</w:t>
      </w:r>
      <w:r w:rsidRPr="00B67949">
        <w:rPr>
          <w:lang w:val="en-GB"/>
        </w:rPr>
        <w:t xml:space="preserve"> </w:t>
      </w:r>
      <w:proofErr w:type="spellStart"/>
      <w:r w:rsidRPr="00B67949">
        <w:rPr>
          <w:lang w:val="en-GB"/>
        </w:rPr>
        <w:t>trup</w:t>
      </w:r>
      <w:r w:rsidR="00A2119E" w:rsidRPr="00B67949">
        <w:rPr>
          <w:lang w:val="en-GB"/>
        </w:rPr>
        <w:t>a</w:t>
      </w:r>
      <w:proofErr w:type="spellEnd"/>
      <w:r w:rsidRPr="00B67949">
        <w:rPr>
          <w:lang w:val="en-GB"/>
        </w:rPr>
        <w:t xml:space="preserve"> </w:t>
      </w:r>
      <w:proofErr w:type="spellStart"/>
      <w:r w:rsidRPr="00B67949">
        <w:rPr>
          <w:lang w:val="en-GB"/>
        </w:rPr>
        <w:t>i</w:t>
      </w:r>
      <w:proofErr w:type="spellEnd"/>
      <w:r w:rsidRPr="00B67949">
        <w:rPr>
          <w:lang w:val="en-GB"/>
        </w:rPr>
        <w:t xml:space="preserve"> </w:t>
      </w:r>
      <w:proofErr w:type="spellStart"/>
      <w:r w:rsidR="007F70B9" w:rsidRPr="00B67949">
        <w:rPr>
          <w:lang w:val="en-GB"/>
        </w:rPr>
        <w:t>kakvoće</w:t>
      </w:r>
      <w:proofErr w:type="spellEnd"/>
      <w:r w:rsidRPr="00B67949">
        <w:rPr>
          <w:lang w:val="en-GB"/>
        </w:rPr>
        <w:t xml:space="preserve"> mesa. </w:t>
      </w:r>
      <w:r w:rsidR="003F6394">
        <w:rPr>
          <w:lang w:val="en-GB"/>
        </w:rPr>
        <w:t xml:space="preserve">U </w:t>
      </w:r>
      <w:proofErr w:type="spellStart"/>
      <w:r w:rsidR="003F6394">
        <w:rPr>
          <w:lang w:val="en-GB"/>
        </w:rPr>
        <w:t>istraživanoj</w:t>
      </w:r>
      <w:proofErr w:type="spellEnd"/>
      <w:r w:rsidR="003F6394">
        <w:rPr>
          <w:lang w:val="en-GB"/>
        </w:rPr>
        <w:t xml:space="preserve"> </w:t>
      </w:r>
      <w:proofErr w:type="spellStart"/>
      <w:r w:rsidR="003F6394">
        <w:rPr>
          <w:lang w:val="en-GB"/>
        </w:rPr>
        <w:t>populaciji</w:t>
      </w:r>
      <w:proofErr w:type="spellEnd"/>
      <w:r w:rsidR="003F6394">
        <w:rPr>
          <w:lang w:val="en-GB"/>
        </w:rPr>
        <w:t xml:space="preserve"> </w:t>
      </w:r>
      <w:proofErr w:type="spellStart"/>
      <w:r w:rsidR="003F6394">
        <w:rPr>
          <w:lang w:val="en-GB"/>
        </w:rPr>
        <w:t>tvrđene</w:t>
      </w:r>
      <w:proofErr w:type="spellEnd"/>
      <w:r w:rsidR="003F6394">
        <w:rPr>
          <w:lang w:val="en-GB"/>
        </w:rPr>
        <w:t xml:space="preserve"> </w:t>
      </w:r>
      <w:proofErr w:type="spellStart"/>
      <w:r w:rsidR="003F6394">
        <w:rPr>
          <w:lang w:val="en-GB"/>
        </w:rPr>
        <w:t>su</w:t>
      </w:r>
      <w:proofErr w:type="spellEnd"/>
      <w:r w:rsidR="003F6394">
        <w:rPr>
          <w:lang w:val="en-GB"/>
        </w:rPr>
        <w:t xml:space="preserve"> </w:t>
      </w:r>
      <w:proofErr w:type="spellStart"/>
      <w:r w:rsidR="003F6394">
        <w:rPr>
          <w:lang w:val="en-GB"/>
        </w:rPr>
        <w:t>slijedeće</w:t>
      </w:r>
      <w:proofErr w:type="spellEnd"/>
      <w:r w:rsidR="003F6394">
        <w:rPr>
          <w:lang w:val="en-GB"/>
        </w:rPr>
        <w:t xml:space="preserve"> </w:t>
      </w:r>
      <w:proofErr w:type="spellStart"/>
      <w:r w:rsidR="003F6394">
        <w:rPr>
          <w:lang w:val="en-GB"/>
        </w:rPr>
        <w:t>frekvencije</w:t>
      </w:r>
      <w:proofErr w:type="spellEnd"/>
      <w:r w:rsidR="003F6394">
        <w:rPr>
          <w:lang w:val="en-GB"/>
        </w:rPr>
        <w:t xml:space="preserve"> </w:t>
      </w:r>
      <w:proofErr w:type="spellStart"/>
      <w:r w:rsidR="003F6394">
        <w:rPr>
          <w:lang w:val="en-GB"/>
        </w:rPr>
        <w:t>genotipova</w:t>
      </w:r>
      <w:proofErr w:type="spellEnd"/>
      <w:r w:rsidR="003F6394">
        <w:rPr>
          <w:lang w:val="en-GB"/>
        </w:rPr>
        <w:t xml:space="preserve"> GHR </w:t>
      </w:r>
      <w:proofErr w:type="spellStart"/>
      <w:r w:rsidR="003F6394">
        <w:rPr>
          <w:lang w:val="en-GB"/>
        </w:rPr>
        <w:t>gena</w:t>
      </w:r>
      <w:proofErr w:type="spellEnd"/>
      <w:r w:rsidR="003F6394">
        <w:rPr>
          <w:lang w:val="en-GB"/>
        </w:rPr>
        <w:t xml:space="preserve">: </w:t>
      </w:r>
      <w:r w:rsidR="003F6394">
        <w:rPr>
          <w:lang w:val="en-US"/>
        </w:rPr>
        <w:t>AA (0,468</w:t>
      </w:r>
      <w:r w:rsidR="003F6394" w:rsidRPr="007F0B48">
        <w:rPr>
          <w:lang w:val="en-US"/>
        </w:rPr>
        <w:t>)</w:t>
      </w:r>
      <w:r w:rsidR="003F6394">
        <w:rPr>
          <w:lang w:val="en-US"/>
        </w:rPr>
        <w:t xml:space="preserve">, GA (0,426) </w:t>
      </w:r>
      <w:proofErr w:type="spellStart"/>
      <w:r w:rsidR="003F6394">
        <w:rPr>
          <w:lang w:val="en-US"/>
        </w:rPr>
        <w:t>i</w:t>
      </w:r>
      <w:proofErr w:type="spellEnd"/>
      <w:r w:rsidR="003F6394">
        <w:rPr>
          <w:lang w:val="en-US"/>
        </w:rPr>
        <w:t xml:space="preserve"> GG (0,106), </w:t>
      </w:r>
      <w:proofErr w:type="spellStart"/>
      <w:r w:rsidR="003F6394">
        <w:rPr>
          <w:lang w:val="en-US"/>
        </w:rPr>
        <w:t>odnosno</w:t>
      </w:r>
      <w:proofErr w:type="spellEnd"/>
      <w:r w:rsidR="003F6394">
        <w:rPr>
          <w:lang w:val="en-US"/>
        </w:rPr>
        <w:t xml:space="preserve"> </w:t>
      </w:r>
      <w:proofErr w:type="spellStart"/>
      <w:r w:rsidR="003F6394">
        <w:rPr>
          <w:lang w:val="en-US"/>
        </w:rPr>
        <w:t>frekvencije</w:t>
      </w:r>
      <w:proofErr w:type="spellEnd"/>
      <w:r w:rsidR="003F6394">
        <w:rPr>
          <w:lang w:val="en-US"/>
        </w:rPr>
        <w:t xml:space="preserve"> alela </w:t>
      </w:r>
      <w:proofErr w:type="spellStart"/>
      <w:r w:rsidR="003F6394">
        <w:rPr>
          <w:lang w:val="en-US"/>
        </w:rPr>
        <w:t>kako</w:t>
      </w:r>
      <w:proofErr w:type="spellEnd"/>
      <w:r w:rsidR="003F6394">
        <w:rPr>
          <w:lang w:val="en-US"/>
        </w:rPr>
        <w:t xml:space="preserve"> </w:t>
      </w:r>
      <w:proofErr w:type="spellStart"/>
      <w:r w:rsidR="003F6394">
        <w:rPr>
          <w:lang w:val="en-US"/>
        </w:rPr>
        <w:t>slijedi</w:t>
      </w:r>
      <w:proofErr w:type="spellEnd"/>
      <w:r w:rsidR="003F6394">
        <w:rPr>
          <w:lang w:val="en-US"/>
        </w:rPr>
        <w:t xml:space="preserve"> </w:t>
      </w:r>
      <w:r w:rsidR="003F6394" w:rsidRPr="007F0B48">
        <w:rPr>
          <w:lang w:val="en-US"/>
        </w:rPr>
        <w:t>A (0.</w:t>
      </w:r>
      <w:r w:rsidR="003F6394">
        <w:rPr>
          <w:lang w:val="en-US"/>
        </w:rPr>
        <w:t xml:space="preserve">681) </w:t>
      </w:r>
      <w:proofErr w:type="spellStart"/>
      <w:r w:rsidR="003F6394">
        <w:rPr>
          <w:lang w:val="en-US"/>
        </w:rPr>
        <w:t>i</w:t>
      </w:r>
      <w:proofErr w:type="spellEnd"/>
      <w:r w:rsidR="003F6394">
        <w:rPr>
          <w:lang w:val="en-US"/>
        </w:rPr>
        <w:t xml:space="preserve"> </w:t>
      </w:r>
      <w:r w:rsidR="003F6394" w:rsidRPr="007F0B48">
        <w:rPr>
          <w:lang w:val="en-US"/>
        </w:rPr>
        <w:t>G (0.</w:t>
      </w:r>
      <w:r w:rsidR="003F6394">
        <w:rPr>
          <w:lang w:val="en-US"/>
        </w:rPr>
        <w:t xml:space="preserve">319). </w:t>
      </w:r>
      <w:proofErr w:type="spellStart"/>
      <w:r w:rsidR="007F70B9" w:rsidRPr="00B67949">
        <w:rPr>
          <w:lang w:val="en-GB"/>
        </w:rPr>
        <w:t>Utvrđen</w:t>
      </w:r>
      <w:proofErr w:type="spellEnd"/>
      <w:r w:rsidR="003F6394">
        <w:rPr>
          <w:lang w:val="en-GB"/>
        </w:rPr>
        <w:t xml:space="preserve"> je </w:t>
      </w:r>
      <w:proofErr w:type="spellStart"/>
      <w:r w:rsidR="003F6394">
        <w:rPr>
          <w:lang w:val="en-GB"/>
        </w:rPr>
        <w:t>pozitivan</w:t>
      </w:r>
      <w:proofErr w:type="spellEnd"/>
      <w:r w:rsidR="003F6394">
        <w:rPr>
          <w:lang w:val="en-GB"/>
        </w:rPr>
        <w:t xml:space="preserve"> </w:t>
      </w:r>
      <w:proofErr w:type="spellStart"/>
      <w:r w:rsidR="00B22A1F">
        <w:rPr>
          <w:lang w:val="en-GB"/>
        </w:rPr>
        <w:t>utjecaj</w:t>
      </w:r>
      <w:proofErr w:type="spellEnd"/>
      <w:r w:rsidR="00B22A1F">
        <w:rPr>
          <w:lang w:val="en-GB"/>
        </w:rPr>
        <w:t xml:space="preserve"> </w:t>
      </w:r>
      <w:r w:rsidR="00B22A1F" w:rsidRPr="00B67949">
        <w:rPr>
          <w:bCs/>
          <w:lang w:val="en-GB"/>
        </w:rPr>
        <w:t>GHR</w:t>
      </w:r>
      <w:r w:rsidR="00B22A1F" w:rsidRPr="00B67949">
        <w:rPr>
          <w:bCs/>
          <w:vertAlign w:val="superscript"/>
          <w:lang w:val="en-GB"/>
        </w:rPr>
        <w:t>GG</w:t>
      </w:r>
      <w:r w:rsidR="00B22A1F">
        <w:rPr>
          <w:lang w:val="en-GB"/>
        </w:rPr>
        <w:t xml:space="preserve"> </w:t>
      </w:r>
      <w:proofErr w:type="spellStart"/>
      <w:r w:rsidR="00B22A1F">
        <w:rPr>
          <w:lang w:val="en-GB"/>
        </w:rPr>
        <w:t>genotipa</w:t>
      </w:r>
      <w:proofErr w:type="spellEnd"/>
      <w:r w:rsidR="00B22A1F">
        <w:rPr>
          <w:lang w:val="en-GB"/>
        </w:rPr>
        <w:t xml:space="preserve"> </w:t>
      </w:r>
      <w:proofErr w:type="spellStart"/>
      <w:r w:rsidR="00B22A1F">
        <w:rPr>
          <w:lang w:val="en-GB"/>
        </w:rPr>
        <w:t>na</w:t>
      </w:r>
      <w:proofErr w:type="spellEnd"/>
      <w:r w:rsidR="00B22A1F">
        <w:rPr>
          <w:lang w:val="en-GB"/>
        </w:rPr>
        <w:t xml:space="preserve"> </w:t>
      </w:r>
      <w:proofErr w:type="spellStart"/>
      <w:r w:rsidR="00B22A1F">
        <w:rPr>
          <w:lang w:val="en-GB"/>
        </w:rPr>
        <w:t>veće</w:t>
      </w:r>
      <w:proofErr w:type="spellEnd"/>
      <w:r w:rsidR="00B22A1F">
        <w:rPr>
          <w:lang w:val="en-GB"/>
        </w:rPr>
        <w:t xml:space="preserve"> </w:t>
      </w:r>
      <w:proofErr w:type="spellStart"/>
      <w:r w:rsidR="00B22A1F" w:rsidRPr="00B67949">
        <w:rPr>
          <w:lang w:val="en-GB"/>
        </w:rPr>
        <w:t>dnevn</w:t>
      </w:r>
      <w:r w:rsidR="00B22A1F">
        <w:rPr>
          <w:lang w:val="en-GB"/>
        </w:rPr>
        <w:t>e</w:t>
      </w:r>
      <w:proofErr w:type="spellEnd"/>
      <w:r w:rsidR="00B22A1F">
        <w:rPr>
          <w:lang w:val="en-GB"/>
        </w:rPr>
        <w:t xml:space="preserve"> </w:t>
      </w:r>
      <w:proofErr w:type="spellStart"/>
      <w:r w:rsidR="00B22A1F" w:rsidRPr="00B67949">
        <w:rPr>
          <w:lang w:val="en-GB"/>
        </w:rPr>
        <w:t>prirast</w:t>
      </w:r>
      <w:r w:rsidR="00B22A1F">
        <w:rPr>
          <w:lang w:val="en-GB"/>
        </w:rPr>
        <w:t>e</w:t>
      </w:r>
      <w:proofErr w:type="spellEnd"/>
      <w:r w:rsidR="00B22A1F">
        <w:rPr>
          <w:lang w:val="en-GB"/>
        </w:rPr>
        <w:t xml:space="preserve"> </w:t>
      </w:r>
      <w:proofErr w:type="spellStart"/>
      <w:r w:rsidR="00B22A1F">
        <w:rPr>
          <w:lang w:val="en-GB"/>
        </w:rPr>
        <w:t>i</w:t>
      </w:r>
      <w:proofErr w:type="spellEnd"/>
      <w:r w:rsidR="00B22A1F">
        <w:rPr>
          <w:lang w:val="en-GB"/>
        </w:rPr>
        <w:t xml:space="preserve"> </w:t>
      </w:r>
      <w:proofErr w:type="spellStart"/>
      <w:r w:rsidR="00B22A1F">
        <w:rPr>
          <w:lang w:val="en-GB"/>
        </w:rPr>
        <w:t>veći</w:t>
      </w:r>
      <w:proofErr w:type="spellEnd"/>
      <w:r w:rsidR="00B22A1F">
        <w:rPr>
          <w:lang w:val="en-GB"/>
        </w:rPr>
        <w:t xml:space="preserve"> </w:t>
      </w:r>
      <w:proofErr w:type="spellStart"/>
      <w:r w:rsidR="00B22A1F">
        <w:rPr>
          <w:lang w:val="en-GB"/>
        </w:rPr>
        <w:t>udio</w:t>
      </w:r>
      <w:proofErr w:type="spellEnd"/>
      <w:r w:rsidR="00B22A1F">
        <w:rPr>
          <w:lang w:val="en-GB"/>
        </w:rPr>
        <w:t xml:space="preserve"> </w:t>
      </w:r>
      <w:proofErr w:type="spellStart"/>
      <w:r w:rsidR="00B22A1F">
        <w:rPr>
          <w:lang w:val="en-GB"/>
        </w:rPr>
        <w:t>mišićnog</w:t>
      </w:r>
      <w:proofErr w:type="spellEnd"/>
      <w:r w:rsidR="00B22A1F">
        <w:rPr>
          <w:lang w:val="en-GB"/>
        </w:rPr>
        <w:t xml:space="preserve"> </w:t>
      </w:r>
      <w:proofErr w:type="spellStart"/>
      <w:r w:rsidR="00B22A1F">
        <w:rPr>
          <w:lang w:val="en-GB"/>
        </w:rPr>
        <w:t>tkiva</w:t>
      </w:r>
      <w:proofErr w:type="spellEnd"/>
      <w:r w:rsidR="00B22A1F">
        <w:rPr>
          <w:lang w:val="en-GB"/>
        </w:rPr>
        <w:t xml:space="preserve">, </w:t>
      </w:r>
      <w:proofErr w:type="spellStart"/>
      <w:r w:rsidR="00B22A1F">
        <w:rPr>
          <w:lang w:val="en-GB"/>
        </w:rPr>
        <w:t>te</w:t>
      </w:r>
      <w:proofErr w:type="spellEnd"/>
      <w:r w:rsidR="00B22A1F">
        <w:rPr>
          <w:lang w:val="en-GB"/>
        </w:rPr>
        <w:t xml:space="preserve"> </w:t>
      </w:r>
      <w:proofErr w:type="spellStart"/>
      <w:r w:rsidR="00B22A1F">
        <w:rPr>
          <w:lang w:val="en-GB"/>
        </w:rPr>
        <w:t>niži</w:t>
      </w:r>
      <w:proofErr w:type="spellEnd"/>
      <w:r w:rsidR="00B22A1F">
        <w:rPr>
          <w:lang w:val="en-GB"/>
        </w:rPr>
        <w:t xml:space="preserve"> </w:t>
      </w:r>
      <w:proofErr w:type="spellStart"/>
      <w:r w:rsidR="00B22A1F">
        <w:rPr>
          <w:lang w:val="en-GB"/>
        </w:rPr>
        <w:t>udio</w:t>
      </w:r>
      <w:proofErr w:type="spellEnd"/>
      <w:r w:rsidR="00B22A1F">
        <w:rPr>
          <w:lang w:val="en-GB"/>
        </w:rPr>
        <w:t xml:space="preserve"> </w:t>
      </w:r>
      <w:proofErr w:type="spellStart"/>
      <w:r w:rsidR="00B22A1F">
        <w:rPr>
          <w:lang w:val="en-GB"/>
        </w:rPr>
        <w:t>masnog</w:t>
      </w:r>
      <w:proofErr w:type="spellEnd"/>
      <w:r w:rsidR="00B22A1F">
        <w:rPr>
          <w:lang w:val="en-GB"/>
        </w:rPr>
        <w:t xml:space="preserve"> </w:t>
      </w:r>
      <w:proofErr w:type="spellStart"/>
      <w:r w:rsidR="00B22A1F">
        <w:rPr>
          <w:lang w:val="en-GB"/>
        </w:rPr>
        <w:t>tkiva</w:t>
      </w:r>
      <w:proofErr w:type="spellEnd"/>
      <w:r w:rsidR="00B22A1F">
        <w:rPr>
          <w:lang w:val="en-GB"/>
        </w:rPr>
        <w:t xml:space="preserve"> u </w:t>
      </w:r>
      <w:proofErr w:type="spellStart"/>
      <w:r w:rsidR="00B22A1F">
        <w:rPr>
          <w:lang w:val="en-GB"/>
        </w:rPr>
        <w:t>trupovima</w:t>
      </w:r>
      <w:proofErr w:type="spellEnd"/>
      <w:r w:rsidR="00B22A1F">
        <w:rPr>
          <w:lang w:val="en-GB"/>
        </w:rPr>
        <w:t xml:space="preserve"> </w:t>
      </w:r>
      <w:proofErr w:type="spellStart"/>
      <w:r w:rsidR="00B22A1F">
        <w:rPr>
          <w:lang w:val="en-GB"/>
        </w:rPr>
        <w:t>junadi</w:t>
      </w:r>
      <w:proofErr w:type="spellEnd"/>
      <w:r w:rsidR="00B22A1F">
        <w:rPr>
          <w:lang w:val="en-GB"/>
        </w:rPr>
        <w:t xml:space="preserve"> </w:t>
      </w:r>
      <w:proofErr w:type="spellStart"/>
      <w:r w:rsidR="00B22A1F">
        <w:rPr>
          <w:lang w:val="en-GB"/>
        </w:rPr>
        <w:t>koji</w:t>
      </w:r>
      <w:proofErr w:type="spellEnd"/>
      <w:r w:rsidR="00B22A1F">
        <w:rPr>
          <w:lang w:val="en-GB"/>
        </w:rPr>
        <w:t xml:space="preserve"> </w:t>
      </w:r>
      <w:proofErr w:type="spellStart"/>
      <w:r w:rsidR="00B22A1F">
        <w:rPr>
          <w:lang w:val="en-GB"/>
        </w:rPr>
        <w:t>su</w:t>
      </w:r>
      <w:proofErr w:type="spellEnd"/>
      <w:r w:rsidR="00B22A1F">
        <w:rPr>
          <w:lang w:val="en-GB"/>
        </w:rPr>
        <w:t xml:space="preserve"> </w:t>
      </w:r>
      <w:proofErr w:type="spellStart"/>
      <w:r w:rsidR="00B22A1F">
        <w:rPr>
          <w:lang w:val="en-GB"/>
        </w:rPr>
        <w:t>bili</w:t>
      </w:r>
      <w:proofErr w:type="spellEnd"/>
      <w:r w:rsidR="00B22A1F">
        <w:rPr>
          <w:lang w:val="en-GB"/>
        </w:rPr>
        <w:t xml:space="preserve"> </w:t>
      </w:r>
      <w:proofErr w:type="spellStart"/>
      <w:r w:rsidR="003F6394">
        <w:rPr>
          <w:lang w:val="en-GB"/>
        </w:rPr>
        <w:t>statistički</w:t>
      </w:r>
      <w:proofErr w:type="spellEnd"/>
      <w:r w:rsidR="003F6394">
        <w:rPr>
          <w:lang w:val="en-GB"/>
        </w:rPr>
        <w:t xml:space="preserve"> </w:t>
      </w:r>
      <w:proofErr w:type="spellStart"/>
      <w:r w:rsidR="00B22A1F">
        <w:rPr>
          <w:lang w:val="en-GB"/>
        </w:rPr>
        <w:t>značaj</w:t>
      </w:r>
      <w:r w:rsidR="003F6394">
        <w:rPr>
          <w:lang w:val="en-GB"/>
        </w:rPr>
        <w:t>n</w:t>
      </w:r>
      <w:r w:rsidR="00B22A1F">
        <w:rPr>
          <w:lang w:val="en-GB"/>
        </w:rPr>
        <w:t>i</w:t>
      </w:r>
      <w:proofErr w:type="spellEnd"/>
      <w:r w:rsidR="00B22A1F">
        <w:rPr>
          <w:lang w:val="en-GB"/>
        </w:rPr>
        <w:t xml:space="preserve">. </w:t>
      </w:r>
      <w:proofErr w:type="spellStart"/>
      <w:r w:rsidRPr="00B67949">
        <w:rPr>
          <w:lang w:val="en-GB"/>
        </w:rPr>
        <w:t>Rezultati</w:t>
      </w:r>
      <w:proofErr w:type="spellEnd"/>
      <w:r w:rsidRPr="00B67949">
        <w:rPr>
          <w:lang w:val="en-GB"/>
        </w:rPr>
        <w:t xml:space="preserve"> </w:t>
      </w:r>
      <w:proofErr w:type="spellStart"/>
      <w:r w:rsidRPr="00B67949">
        <w:rPr>
          <w:lang w:val="en-GB"/>
        </w:rPr>
        <w:t>ukazuju</w:t>
      </w:r>
      <w:proofErr w:type="spellEnd"/>
      <w:r w:rsidRPr="00B67949">
        <w:rPr>
          <w:lang w:val="en-GB"/>
        </w:rPr>
        <w:t xml:space="preserve"> </w:t>
      </w:r>
      <w:proofErr w:type="spellStart"/>
      <w:r w:rsidRPr="00B67949">
        <w:rPr>
          <w:lang w:val="en-GB"/>
        </w:rPr>
        <w:t>na</w:t>
      </w:r>
      <w:proofErr w:type="spellEnd"/>
      <w:r w:rsidRPr="00B67949">
        <w:rPr>
          <w:lang w:val="en-GB"/>
        </w:rPr>
        <w:t xml:space="preserve"> </w:t>
      </w:r>
      <w:proofErr w:type="spellStart"/>
      <w:r w:rsidR="006311B3" w:rsidRPr="00B67949">
        <w:rPr>
          <w:lang w:val="en-GB"/>
        </w:rPr>
        <w:t>iskoristivost</w:t>
      </w:r>
      <w:proofErr w:type="spellEnd"/>
      <w:r w:rsidRPr="00B67949">
        <w:rPr>
          <w:lang w:val="en-GB"/>
        </w:rPr>
        <w:t xml:space="preserve"> </w:t>
      </w:r>
      <w:proofErr w:type="spellStart"/>
      <w:r w:rsidR="006311B3" w:rsidRPr="00B67949">
        <w:rPr>
          <w:lang w:val="en-GB"/>
        </w:rPr>
        <w:t>determinacije</w:t>
      </w:r>
      <w:proofErr w:type="spellEnd"/>
      <w:r w:rsidR="006311B3" w:rsidRPr="00B67949">
        <w:rPr>
          <w:lang w:val="en-GB"/>
        </w:rPr>
        <w:t xml:space="preserve"> GHR </w:t>
      </w:r>
      <w:proofErr w:type="spellStart"/>
      <w:r w:rsidR="006311B3" w:rsidRPr="00B67949">
        <w:rPr>
          <w:lang w:val="en-GB"/>
        </w:rPr>
        <w:t>genskih</w:t>
      </w:r>
      <w:proofErr w:type="spellEnd"/>
      <w:r w:rsidR="006311B3" w:rsidRPr="00B67949">
        <w:rPr>
          <w:lang w:val="en-GB"/>
        </w:rPr>
        <w:t xml:space="preserve"> </w:t>
      </w:r>
      <w:proofErr w:type="spellStart"/>
      <w:r w:rsidR="006311B3" w:rsidRPr="00B67949">
        <w:rPr>
          <w:lang w:val="en-GB"/>
        </w:rPr>
        <w:t>varijanti</w:t>
      </w:r>
      <w:proofErr w:type="spellEnd"/>
      <w:r w:rsidR="006311B3" w:rsidRPr="00B67949">
        <w:rPr>
          <w:lang w:val="en-GB"/>
        </w:rPr>
        <w:t xml:space="preserve"> </w:t>
      </w:r>
      <w:proofErr w:type="spellStart"/>
      <w:r w:rsidR="006311B3" w:rsidRPr="00B67949">
        <w:rPr>
          <w:lang w:val="en-GB"/>
        </w:rPr>
        <w:t>i</w:t>
      </w:r>
      <w:proofErr w:type="spellEnd"/>
      <w:r w:rsidR="006311B3" w:rsidRPr="00B67949">
        <w:rPr>
          <w:lang w:val="en-GB"/>
        </w:rPr>
        <w:t xml:space="preserve"> </w:t>
      </w:r>
      <w:proofErr w:type="spellStart"/>
      <w:r w:rsidR="006311B3" w:rsidRPr="00B67949">
        <w:rPr>
          <w:lang w:val="en-GB"/>
        </w:rPr>
        <w:t>njihove</w:t>
      </w:r>
      <w:proofErr w:type="spellEnd"/>
      <w:r w:rsidR="006311B3" w:rsidRPr="00B67949">
        <w:rPr>
          <w:lang w:val="en-GB"/>
        </w:rPr>
        <w:t xml:space="preserve"> </w:t>
      </w:r>
      <w:proofErr w:type="spellStart"/>
      <w:r w:rsidRPr="00B67949">
        <w:rPr>
          <w:lang w:val="en-GB"/>
        </w:rPr>
        <w:t>uporab</w:t>
      </w:r>
      <w:r w:rsidR="006311B3" w:rsidRPr="00B67949">
        <w:rPr>
          <w:lang w:val="en-GB"/>
        </w:rPr>
        <w:t>e</w:t>
      </w:r>
      <w:proofErr w:type="spellEnd"/>
      <w:r w:rsidRPr="00B67949">
        <w:rPr>
          <w:lang w:val="en-GB"/>
        </w:rPr>
        <w:t xml:space="preserve"> u </w:t>
      </w:r>
      <w:proofErr w:type="spellStart"/>
      <w:r w:rsidRPr="00B67949">
        <w:rPr>
          <w:lang w:val="en-GB"/>
        </w:rPr>
        <w:t>selekciji</w:t>
      </w:r>
      <w:proofErr w:type="spellEnd"/>
      <w:r w:rsidRPr="00B67949">
        <w:rPr>
          <w:lang w:val="en-GB"/>
        </w:rPr>
        <w:t xml:space="preserve"> </w:t>
      </w:r>
      <w:proofErr w:type="spellStart"/>
      <w:r w:rsidR="006311B3" w:rsidRPr="00B67949">
        <w:rPr>
          <w:lang w:val="en-GB"/>
        </w:rPr>
        <w:t>mesnih</w:t>
      </w:r>
      <w:proofErr w:type="spellEnd"/>
      <w:r w:rsidR="006311B3" w:rsidRPr="00B67949">
        <w:rPr>
          <w:lang w:val="en-GB"/>
        </w:rPr>
        <w:t xml:space="preserve"> </w:t>
      </w:r>
      <w:proofErr w:type="spellStart"/>
      <w:r w:rsidR="006311B3" w:rsidRPr="00B67949">
        <w:rPr>
          <w:lang w:val="en-GB"/>
        </w:rPr>
        <w:t>pamina</w:t>
      </w:r>
      <w:proofErr w:type="spellEnd"/>
      <w:r w:rsidR="006311B3" w:rsidRPr="00B67949">
        <w:rPr>
          <w:lang w:val="en-GB"/>
        </w:rPr>
        <w:t xml:space="preserve"> </w:t>
      </w:r>
      <w:proofErr w:type="spellStart"/>
      <w:r w:rsidRPr="00B67949">
        <w:rPr>
          <w:lang w:val="en-GB"/>
        </w:rPr>
        <w:t>goveda</w:t>
      </w:r>
      <w:proofErr w:type="spellEnd"/>
      <w:r w:rsidRPr="00B67949">
        <w:rPr>
          <w:lang w:val="en-GB"/>
        </w:rPr>
        <w:t>.</w:t>
      </w:r>
    </w:p>
    <w:p w14:paraId="418E286B" w14:textId="77777777" w:rsidR="006311B3" w:rsidRPr="00B67949" w:rsidRDefault="006311B3" w:rsidP="006311B3">
      <w:pPr>
        <w:rPr>
          <w:b/>
          <w:noProof/>
          <w:szCs w:val="24"/>
          <w:lang w:val="en-GB"/>
        </w:rPr>
      </w:pPr>
    </w:p>
    <w:p w14:paraId="05B16C23" w14:textId="6552B931" w:rsidR="006311B3" w:rsidRPr="00B67949" w:rsidRDefault="006311B3" w:rsidP="006311B3">
      <w:pPr>
        <w:rPr>
          <w:noProof/>
          <w:szCs w:val="24"/>
          <w:lang w:val="en-GB"/>
        </w:rPr>
      </w:pPr>
      <w:r w:rsidRPr="00B67949">
        <w:rPr>
          <w:b/>
          <w:noProof/>
          <w:szCs w:val="24"/>
          <w:lang w:val="en-GB"/>
        </w:rPr>
        <w:t>Ključne riječi</w:t>
      </w:r>
      <w:r w:rsidRPr="00B67949">
        <w:rPr>
          <w:noProof/>
          <w:szCs w:val="24"/>
          <w:lang w:val="en-GB"/>
        </w:rPr>
        <w:t>: GHR gen</w:t>
      </w:r>
      <w:r w:rsidR="006C6C25" w:rsidRPr="00B67949">
        <w:rPr>
          <w:noProof/>
          <w:szCs w:val="24"/>
          <w:lang w:val="en-GB"/>
        </w:rPr>
        <w:t>,</w:t>
      </w:r>
      <w:r w:rsidRPr="00B67949">
        <w:rPr>
          <w:noProof/>
          <w:szCs w:val="24"/>
          <w:lang w:val="en-GB"/>
        </w:rPr>
        <w:t xml:space="preserve"> pol</w:t>
      </w:r>
      <w:r w:rsidR="00B22A1F">
        <w:rPr>
          <w:noProof/>
          <w:szCs w:val="24"/>
          <w:lang w:val="en-GB"/>
        </w:rPr>
        <w:t>i</w:t>
      </w:r>
      <w:r w:rsidRPr="00B67949">
        <w:rPr>
          <w:noProof/>
          <w:szCs w:val="24"/>
          <w:lang w:val="en-GB"/>
        </w:rPr>
        <w:t>morfizam</w:t>
      </w:r>
      <w:r w:rsidR="006C6C25" w:rsidRPr="00B67949">
        <w:rPr>
          <w:noProof/>
          <w:szCs w:val="24"/>
          <w:lang w:val="en-GB"/>
        </w:rPr>
        <w:t>,</w:t>
      </w:r>
      <w:r w:rsidRPr="00B67949">
        <w:rPr>
          <w:noProof/>
          <w:szCs w:val="24"/>
          <w:lang w:val="en-GB"/>
        </w:rPr>
        <w:t xml:space="preserve"> rast</w:t>
      </w:r>
      <w:r w:rsidR="006C6C25" w:rsidRPr="00B67949">
        <w:rPr>
          <w:noProof/>
          <w:szCs w:val="24"/>
          <w:lang w:val="en-GB"/>
        </w:rPr>
        <w:t>,</w:t>
      </w:r>
      <w:r w:rsidRPr="00B67949">
        <w:rPr>
          <w:noProof/>
          <w:szCs w:val="24"/>
          <w:lang w:val="en-GB"/>
        </w:rPr>
        <w:t xml:space="preserve"> </w:t>
      </w:r>
      <w:r w:rsidR="00D64842" w:rsidRPr="00B67949">
        <w:rPr>
          <w:noProof/>
          <w:szCs w:val="24"/>
          <w:lang w:val="en-GB"/>
        </w:rPr>
        <w:t>kvaliteta trupa</w:t>
      </w:r>
    </w:p>
    <w:p w14:paraId="028E3756" w14:textId="77777777" w:rsidR="006311B3" w:rsidRDefault="006311B3" w:rsidP="00814B0A">
      <w:pPr>
        <w:rPr>
          <w:lang w:val="en-GB"/>
        </w:rPr>
      </w:pPr>
    </w:p>
    <w:sectPr w:rsidR="006311B3" w:rsidSect="00573975">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90E35" w14:textId="77777777" w:rsidR="001846B6" w:rsidRDefault="001846B6">
      <w:r>
        <w:separator/>
      </w:r>
    </w:p>
  </w:endnote>
  <w:endnote w:type="continuationSeparator" w:id="0">
    <w:p w14:paraId="3A45C3F5" w14:textId="77777777" w:rsidR="001846B6" w:rsidRDefault="0018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vival565L2-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C182" w14:textId="77777777" w:rsidR="001846B6" w:rsidRDefault="001846B6">
      <w:r>
        <w:separator/>
      </w:r>
    </w:p>
  </w:footnote>
  <w:footnote w:type="continuationSeparator" w:id="0">
    <w:p w14:paraId="2D1DFEDA" w14:textId="77777777" w:rsidR="001846B6" w:rsidRDefault="0018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85726"/>
    <w:multiLevelType w:val="hybridMultilevel"/>
    <w:tmpl w:val="3D8ECA8A"/>
    <w:lvl w:ilvl="0" w:tplc="99B2DC8C">
      <w:start w:val="1"/>
      <w:numFmt w:val="decimal"/>
      <w:lvlText w:val="%1."/>
      <w:lvlJc w:val="left"/>
      <w:pPr>
        <w:tabs>
          <w:tab w:val="num" w:pos="425"/>
        </w:tabs>
        <w:ind w:left="425" w:hanging="65"/>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E4243A"/>
    <w:multiLevelType w:val="hybridMultilevel"/>
    <w:tmpl w:val="DEF27A50"/>
    <w:lvl w:ilvl="0" w:tplc="AE64BAF2">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EAC"/>
    <w:rsid w:val="00001B98"/>
    <w:rsid w:val="00001BE6"/>
    <w:rsid w:val="00003E40"/>
    <w:rsid w:val="00011C9D"/>
    <w:rsid w:val="00011ECA"/>
    <w:rsid w:val="00016C89"/>
    <w:rsid w:val="00021694"/>
    <w:rsid w:val="00023F32"/>
    <w:rsid w:val="00031761"/>
    <w:rsid w:val="00034184"/>
    <w:rsid w:val="00036CD8"/>
    <w:rsid w:val="00046F48"/>
    <w:rsid w:val="00047BA5"/>
    <w:rsid w:val="00052300"/>
    <w:rsid w:val="000539FB"/>
    <w:rsid w:val="0006341F"/>
    <w:rsid w:val="00063B62"/>
    <w:rsid w:val="00075D7B"/>
    <w:rsid w:val="000778E5"/>
    <w:rsid w:val="000813B6"/>
    <w:rsid w:val="0008376C"/>
    <w:rsid w:val="00090155"/>
    <w:rsid w:val="00092064"/>
    <w:rsid w:val="000929A7"/>
    <w:rsid w:val="00095C90"/>
    <w:rsid w:val="000A525B"/>
    <w:rsid w:val="000B0277"/>
    <w:rsid w:val="000B0C59"/>
    <w:rsid w:val="000B548F"/>
    <w:rsid w:val="000C0D82"/>
    <w:rsid w:val="000C2A1D"/>
    <w:rsid w:val="000C3871"/>
    <w:rsid w:val="000E2797"/>
    <w:rsid w:val="000E3BC3"/>
    <w:rsid w:val="000E4620"/>
    <w:rsid w:val="000E6569"/>
    <w:rsid w:val="000F19E8"/>
    <w:rsid w:val="000F36A7"/>
    <w:rsid w:val="000F6EA9"/>
    <w:rsid w:val="000F73BB"/>
    <w:rsid w:val="000F7885"/>
    <w:rsid w:val="0010212F"/>
    <w:rsid w:val="00106BA8"/>
    <w:rsid w:val="0011269C"/>
    <w:rsid w:val="0012172F"/>
    <w:rsid w:val="00121785"/>
    <w:rsid w:val="001230B2"/>
    <w:rsid w:val="00133A11"/>
    <w:rsid w:val="00150BD4"/>
    <w:rsid w:val="001517CE"/>
    <w:rsid w:val="00161A75"/>
    <w:rsid w:val="00163DBF"/>
    <w:rsid w:val="00176265"/>
    <w:rsid w:val="001764F9"/>
    <w:rsid w:val="00176A57"/>
    <w:rsid w:val="00177631"/>
    <w:rsid w:val="00182B0F"/>
    <w:rsid w:val="001846B6"/>
    <w:rsid w:val="00184AF8"/>
    <w:rsid w:val="00187AF4"/>
    <w:rsid w:val="00190C40"/>
    <w:rsid w:val="001A20B6"/>
    <w:rsid w:val="001A49E5"/>
    <w:rsid w:val="001D4D79"/>
    <w:rsid w:val="001D4E31"/>
    <w:rsid w:val="001E2E1D"/>
    <w:rsid w:val="001E4B08"/>
    <w:rsid w:val="001E5C17"/>
    <w:rsid w:val="00207DFF"/>
    <w:rsid w:val="0021723B"/>
    <w:rsid w:val="0022230A"/>
    <w:rsid w:val="00222D26"/>
    <w:rsid w:val="00223373"/>
    <w:rsid w:val="00227BB6"/>
    <w:rsid w:val="00227DA6"/>
    <w:rsid w:val="00231F5A"/>
    <w:rsid w:val="00233FD0"/>
    <w:rsid w:val="00234DCD"/>
    <w:rsid w:val="00237584"/>
    <w:rsid w:val="002409C3"/>
    <w:rsid w:val="00241B46"/>
    <w:rsid w:val="00242C54"/>
    <w:rsid w:val="00243A58"/>
    <w:rsid w:val="00243FE9"/>
    <w:rsid w:val="00253DA4"/>
    <w:rsid w:val="00254DAC"/>
    <w:rsid w:val="00257BC1"/>
    <w:rsid w:val="00276579"/>
    <w:rsid w:val="00280C74"/>
    <w:rsid w:val="00280E1A"/>
    <w:rsid w:val="002832F5"/>
    <w:rsid w:val="0028350E"/>
    <w:rsid w:val="002861FB"/>
    <w:rsid w:val="002875F7"/>
    <w:rsid w:val="00287C78"/>
    <w:rsid w:val="00290754"/>
    <w:rsid w:val="002930B8"/>
    <w:rsid w:val="0029518A"/>
    <w:rsid w:val="00295443"/>
    <w:rsid w:val="0029708F"/>
    <w:rsid w:val="002C1A55"/>
    <w:rsid w:val="002C2544"/>
    <w:rsid w:val="002D3614"/>
    <w:rsid w:val="002D70C6"/>
    <w:rsid w:val="002E751E"/>
    <w:rsid w:val="002F028D"/>
    <w:rsid w:val="002F7BAD"/>
    <w:rsid w:val="0030287D"/>
    <w:rsid w:val="003036AD"/>
    <w:rsid w:val="003068A9"/>
    <w:rsid w:val="00310CBB"/>
    <w:rsid w:val="0031490D"/>
    <w:rsid w:val="00315FC3"/>
    <w:rsid w:val="00317D7E"/>
    <w:rsid w:val="0032292B"/>
    <w:rsid w:val="003262D8"/>
    <w:rsid w:val="003273DD"/>
    <w:rsid w:val="00331295"/>
    <w:rsid w:val="003331AE"/>
    <w:rsid w:val="00333361"/>
    <w:rsid w:val="00334B02"/>
    <w:rsid w:val="00334C3D"/>
    <w:rsid w:val="00335DBC"/>
    <w:rsid w:val="00336FDA"/>
    <w:rsid w:val="00340150"/>
    <w:rsid w:val="0034221F"/>
    <w:rsid w:val="00345783"/>
    <w:rsid w:val="00354F5E"/>
    <w:rsid w:val="00356295"/>
    <w:rsid w:val="003570DA"/>
    <w:rsid w:val="0036293D"/>
    <w:rsid w:val="00363269"/>
    <w:rsid w:val="0036410F"/>
    <w:rsid w:val="00370D0C"/>
    <w:rsid w:val="003735B9"/>
    <w:rsid w:val="003803AF"/>
    <w:rsid w:val="00383861"/>
    <w:rsid w:val="0038490A"/>
    <w:rsid w:val="00387BAB"/>
    <w:rsid w:val="00394292"/>
    <w:rsid w:val="003A00FD"/>
    <w:rsid w:val="003A31D8"/>
    <w:rsid w:val="003A72D2"/>
    <w:rsid w:val="003B082E"/>
    <w:rsid w:val="003C0BBA"/>
    <w:rsid w:val="003C32C8"/>
    <w:rsid w:val="003C637A"/>
    <w:rsid w:val="003D5DA2"/>
    <w:rsid w:val="003D73D5"/>
    <w:rsid w:val="003E13A1"/>
    <w:rsid w:val="003E1682"/>
    <w:rsid w:val="003F2590"/>
    <w:rsid w:val="003F3090"/>
    <w:rsid w:val="003F6394"/>
    <w:rsid w:val="00405B67"/>
    <w:rsid w:val="00420DF1"/>
    <w:rsid w:val="00424E7D"/>
    <w:rsid w:val="004258B3"/>
    <w:rsid w:val="004271B4"/>
    <w:rsid w:val="00440202"/>
    <w:rsid w:val="00441615"/>
    <w:rsid w:val="00463C6F"/>
    <w:rsid w:val="00472D6F"/>
    <w:rsid w:val="0048168E"/>
    <w:rsid w:val="00483137"/>
    <w:rsid w:val="00483937"/>
    <w:rsid w:val="004925AA"/>
    <w:rsid w:val="00495482"/>
    <w:rsid w:val="00495DB5"/>
    <w:rsid w:val="004A4286"/>
    <w:rsid w:val="004B0966"/>
    <w:rsid w:val="004B160F"/>
    <w:rsid w:val="004B2D5C"/>
    <w:rsid w:val="004B2E0F"/>
    <w:rsid w:val="004B4DF7"/>
    <w:rsid w:val="004C1C39"/>
    <w:rsid w:val="004C4F3D"/>
    <w:rsid w:val="004C7911"/>
    <w:rsid w:val="004D095B"/>
    <w:rsid w:val="004D571C"/>
    <w:rsid w:val="004D6C9E"/>
    <w:rsid w:val="004D6F9C"/>
    <w:rsid w:val="004E1F82"/>
    <w:rsid w:val="004E7E3E"/>
    <w:rsid w:val="004F0664"/>
    <w:rsid w:val="00503DE3"/>
    <w:rsid w:val="005113FD"/>
    <w:rsid w:val="00523D35"/>
    <w:rsid w:val="0052594F"/>
    <w:rsid w:val="00527F0A"/>
    <w:rsid w:val="00530283"/>
    <w:rsid w:val="00530534"/>
    <w:rsid w:val="00541AC4"/>
    <w:rsid w:val="00542F10"/>
    <w:rsid w:val="00544B22"/>
    <w:rsid w:val="00546CC9"/>
    <w:rsid w:val="005553C3"/>
    <w:rsid w:val="00555BF5"/>
    <w:rsid w:val="00563C06"/>
    <w:rsid w:val="00563D37"/>
    <w:rsid w:val="00565336"/>
    <w:rsid w:val="00573658"/>
    <w:rsid w:val="00573975"/>
    <w:rsid w:val="0057666E"/>
    <w:rsid w:val="00580764"/>
    <w:rsid w:val="00580E74"/>
    <w:rsid w:val="00581465"/>
    <w:rsid w:val="00585E52"/>
    <w:rsid w:val="005A457E"/>
    <w:rsid w:val="005A56E4"/>
    <w:rsid w:val="005A727D"/>
    <w:rsid w:val="005B2151"/>
    <w:rsid w:val="005B42C6"/>
    <w:rsid w:val="005B6227"/>
    <w:rsid w:val="005B65B6"/>
    <w:rsid w:val="005B782F"/>
    <w:rsid w:val="005D5F7D"/>
    <w:rsid w:val="005F1A88"/>
    <w:rsid w:val="005F5148"/>
    <w:rsid w:val="00605F94"/>
    <w:rsid w:val="006102EA"/>
    <w:rsid w:val="0062339D"/>
    <w:rsid w:val="006311B3"/>
    <w:rsid w:val="006311E8"/>
    <w:rsid w:val="0064434E"/>
    <w:rsid w:val="00665890"/>
    <w:rsid w:val="00665E95"/>
    <w:rsid w:val="00671EAC"/>
    <w:rsid w:val="006744F0"/>
    <w:rsid w:val="00675DC8"/>
    <w:rsid w:val="00683E0A"/>
    <w:rsid w:val="00684973"/>
    <w:rsid w:val="00694A50"/>
    <w:rsid w:val="00695F0B"/>
    <w:rsid w:val="006A52D5"/>
    <w:rsid w:val="006A5525"/>
    <w:rsid w:val="006A7CE4"/>
    <w:rsid w:val="006A7D96"/>
    <w:rsid w:val="006B2D69"/>
    <w:rsid w:val="006B4629"/>
    <w:rsid w:val="006B7001"/>
    <w:rsid w:val="006B7442"/>
    <w:rsid w:val="006C3AF5"/>
    <w:rsid w:val="006C5ACC"/>
    <w:rsid w:val="006C6C25"/>
    <w:rsid w:val="006D00B4"/>
    <w:rsid w:val="006D0F3B"/>
    <w:rsid w:val="006D108E"/>
    <w:rsid w:val="006E0B85"/>
    <w:rsid w:val="007017E7"/>
    <w:rsid w:val="00707528"/>
    <w:rsid w:val="00711A11"/>
    <w:rsid w:val="00712088"/>
    <w:rsid w:val="00712C09"/>
    <w:rsid w:val="00712ED5"/>
    <w:rsid w:val="00714534"/>
    <w:rsid w:val="00714CBC"/>
    <w:rsid w:val="0072321B"/>
    <w:rsid w:val="00723525"/>
    <w:rsid w:val="00724E02"/>
    <w:rsid w:val="00724F7F"/>
    <w:rsid w:val="00726417"/>
    <w:rsid w:val="00735BEE"/>
    <w:rsid w:val="00737FFE"/>
    <w:rsid w:val="00745706"/>
    <w:rsid w:val="00753043"/>
    <w:rsid w:val="00756887"/>
    <w:rsid w:val="00760634"/>
    <w:rsid w:val="00764E1F"/>
    <w:rsid w:val="00767DB2"/>
    <w:rsid w:val="007708AD"/>
    <w:rsid w:val="0077187D"/>
    <w:rsid w:val="00772D02"/>
    <w:rsid w:val="00781A38"/>
    <w:rsid w:val="00784057"/>
    <w:rsid w:val="0079032E"/>
    <w:rsid w:val="00790BDD"/>
    <w:rsid w:val="007933AE"/>
    <w:rsid w:val="00794AC5"/>
    <w:rsid w:val="00794C22"/>
    <w:rsid w:val="007A0FFB"/>
    <w:rsid w:val="007A6282"/>
    <w:rsid w:val="007B1914"/>
    <w:rsid w:val="007B3656"/>
    <w:rsid w:val="007B3E5C"/>
    <w:rsid w:val="007C1B3A"/>
    <w:rsid w:val="007D0A1D"/>
    <w:rsid w:val="007D14FB"/>
    <w:rsid w:val="007D226C"/>
    <w:rsid w:val="007D36C4"/>
    <w:rsid w:val="007D6865"/>
    <w:rsid w:val="007E03D1"/>
    <w:rsid w:val="007E34AE"/>
    <w:rsid w:val="007E4065"/>
    <w:rsid w:val="007E5926"/>
    <w:rsid w:val="007F70B9"/>
    <w:rsid w:val="007F71A2"/>
    <w:rsid w:val="008024DE"/>
    <w:rsid w:val="00806755"/>
    <w:rsid w:val="00807BFD"/>
    <w:rsid w:val="00814B0A"/>
    <w:rsid w:val="00821E41"/>
    <w:rsid w:val="00826C06"/>
    <w:rsid w:val="00835696"/>
    <w:rsid w:val="00844BE6"/>
    <w:rsid w:val="008461F6"/>
    <w:rsid w:val="00851EB8"/>
    <w:rsid w:val="00852268"/>
    <w:rsid w:val="00860134"/>
    <w:rsid w:val="008631EA"/>
    <w:rsid w:val="0086422A"/>
    <w:rsid w:val="00870639"/>
    <w:rsid w:val="00874090"/>
    <w:rsid w:val="00875D29"/>
    <w:rsid w:val="00876245"/>
    <w:rsid w:val="00882620"/>
    <w:rsid w:val="0089271D"/>
    <w:rsid w:val="00897BF3"/>
    <w:rsid w:val="008A1A9C"/>
    <w:rsid w:val="008A49E9"/>
    <w:rsid w:val="008A5C20"/>
    <w:rsid w:val="008B0084"/>
    <w:rsid w:val="008B7F73"/>
    <w:rsid w:val="008C0DBF"/>
    <w:rsid w:val="008C22E8"/>
    <w:rsid w:val="008C3028"/>
    <w:rsid w:val="008C6DCB"/>
    <w:rsid w:val="008D2D7D"/>
    <w:rsid w:val="008E6435"/>
    <w:rsid w:val="008E72A8"/>
    <w:rsid w:val="008F0A95"/>
    <w:rsid w:val="008F211E"/>
    <w:rsid w:val="008F6B91"/>
    <w:rsid w:val="00901E25"/>
    <w:rsid w:val="00912B1B"/>
    <w:rsid w:val="00914507"/>
    <w:rsid w:val="00914666"/>
    <w:rsid w:val="00916CDF"/>
    <w:rsid w:val="009243E3"/>
    <w:rsid w:val="00926C8F"/>
    <w:rsid w:val="00931270"/>
    <w:rsid w:val="009427F8"/>
    <w:rsid w:val="0094297A"/>
    <w:rsid w:val="00945D88"/>
    <w:rsid w:val="009621C4"/>
    <w:rsid w:val="009624F3"/>
    <w:rsid w:val="009626F6"/>
    <w:rsid w:val="0097151F"/>
    <w:rsid w:val="00975CCA"/>
    <w:rsid w:val="009762E4"/>
    <w:rsid w:val="0098384E"/>
    <w:rsid w:val="00984505"/>
    <w:rsid w:val="00984FC0"/>
    <w:rsid w:val="00985F0F"/>
    <w:rsid w:val="0099046C"/>
    <w:rsid w:val="0099392B"/>
    <w:rsid w:val="00993A7C"/>
    <w:rsid w:val="009A2A64"/>
    <w:rsid w:val="009B25DC"/>
    <w:rsid w:val="009B4116"/>
    <w:rsid w:val="009B7454"/>
    <w:rsid w:val="009C34E1"/>
    <w:rsid w:val="009C665A"/>
    <w:rsid w:val="009D30C6"/>
    <w:rsid w:val="009E3181"/>
    <w:rsid w:val="009E39A4"/>
    <w:rsid w:val="009F24C1"/>
    <w:rsid w:val="009F7F2D"/>
    <w:rsid w:val="00A10425"/>
    <w:rsid w:val="00A12A24"/>
    <w:rsid w:val="00A15748"/>
    <w:rsid w:val="00A1598A"/>
    <w:rsid w:val="00A17E2A"/>
    <w:rsid w:val="00A208B4"/>
    <w:rsid w:val="00A2119E"/>
    <w:rsid w:val="00A24329"/>
    <w:rsid w:val="00A27DBF"/>
    <w:rsid w:val="00A339D7"/>
    <w:rsid w:val="00A3761E"/>
    <w:rsid w:val="00A46F4F"/>
    <w:rsid w:val="00A52381"/>
    <w:rsid w:val="00A53096"/>
    <w:rsid w:val="00A55328"/>
    <w:rsid w:val="00A666FC"/>
    <w:rsid w:val="00A72049"/>
    <w:rsid w:val="00A72EC5"/>
    <w:rsid w:val="00A7311D"/>
    <w:rsid w:val="00A74BE4"/>
    <w:rsid w:val="00A77908"/>
    <w:rsid w:val="00A85B47"/>
    <w:rsid w:val="00A9047C"/>
    <w:rsid w:val="00AA19B5"/>
    <w:rsid w:val="00AA4C3E"/>
    <w:rsid w:val="00AA503F"/>
    <w:rsid w:val="00AA575B"/>
    <w:rsid w:val="00AA57F7"/>
    <w:rsid w:val="00AA6266"/>
    <w:rsid w:val="00AB10FF"/>
    <w:rsid w:val="00AB1265"/>
    <w:rsid w:val="00AB2248"/>
    <w:rsid w:val="00AB2405"/>
    <w:rsid w:val="00AB4CC6"/>
    <w:rsid w:val="00AB7182"/>
    <w:rsid w:val="00AC0E26"/>
    <w:rsid w:val="00AC291A"/>
    <w:rsid w:val="00AC3965"/>
    <w:rsid w:val="00AC54F5"/>
    <w:rsid w:val="00AC5CFA"/>
    <w:rsid w:val="00AD242D"/>
    <w:rsid w:val="00AE0932"/>
    <w:rsid w:val="00AE5130"/>
    <w:rsid w:val="00AE520F"/>
    <w:rsid w:val="00B00512"/>
    <w:rsid w:val="00B028B0"/>
    <w:rsid w:val="00B11EFB"/>
    <w:rsid w:val="00B14474"/>
    <w:rsid w:val="00B14790"/>
    <w:rsid w:val="00B16235"/>
    <w:rsid w:val="00B22A1F"/>
    <w:rsid w:val="00B22E69"/>
    <w:rsid w:val="00B30720"/>
    <w:rsid w:val="00B32628"/>
    <w:rsid w:val="00B34C77"/>
    <w:rsid w:val="00B351D5"/>
    <w:rsid w:val="00B36E25"/>
    <w:rsid w:val="00B433C5"/>
    <w:rsid w:val="00B5423E"/>
    <w:rsid w:val="00B615B9"/>
    <w:rsid w:val="00B61ED9"/>
    <w:rsid w:val="00B63786"/>
    <w:rsid w:val="00B654D8"/>
    <w:rsid w:val="00B65D0E"/>
    <w:rsid w:val="00B67949"/>
    <w:rsid w:val="00B709E9"/>
    <w:rsid w:val="00B84959"/>
    <w:rsid w:val="00B9647E"/>
    <w:rsid w:val="00BA210E"/>
    <w:rsid w:val="00BA4136"/>
    <w:rsid w:val="00BB0537"/>
    <w:rsid w:val="00BB2AC6"/>
    <w:rsid w:val="00BB7F56"/>
    <w:rsid w:val="00BC346E"/>
    <w:rsid w:val="00BC3DA0"/>
    <w:rsid w:val="00BD107C"/>
    <w:rsid w:val="00BD2519"/>
    <w:rsid w:val="00BD3989"/>
    <w:rsid w:val="00BD54C2"/>
    <w:rsid w:val="00BE3CF7"/>
    <w:rsid w:val="00BE4E87"/>
    <w:rsid w:val="00BE63BC"/>
    <w:rsid w:val="00BE76C5"/>
    <w:rsid w:val="00BF378B"/>
    <w:rsid w:val="00BF3887"/>
    <w:rsid w:val="00BF4282"/>
    <w:rsid w:val="00BF4388"/>
    <w:rsid w:val="00BF5FAB"/>
    <w:rsid w:val="00C04B75"/>
    <w:rsid w:val="00C04DA9"/>
    <w:rsid w:val="00C1080B"/>
    <w:rsid w:val="00C14961"/>
    <w:rsid w:val="00C1627D"/>
    <w:rsid w:val="00C17495"/>
    <w:rsid w:val="00C24F9A"/>
    <w:rsid w:val="00C33101"/>
    <w:rsid w:val="00C368F2"/>
    <w:rsid w:val="00C437F2"/>
    <w:rsid w:val="00C51A01"/>
    <w:rsid w:val="00C51AA3"/>
    <w:rsid w:val="00C5296E"/>
    <w:rsid w:val="00C543A0"/>
    <w:rsid w:val="00C54BF6"/>
    <w:rsid w:val="00C552F8"/>
    <w:rsid w:val="00C57AA1"/>
    <w:rsid w:val="00C6305E"/>
    <w:rsid w:val="00C6528F"/>
    <w:rsid w:val="00C655F2"/>
    <w:rsid w:val="00C6644E"/>
    <w:rsid w:val="00C728E3"/>
    <w:rsid w:val="00C85918"/>
    <w:rsid w:val="00C8673C"/>
    <w:rsid w:val="00C87145"/>
    <w:rsid w:val="00CA7A6D"/>
    <w:rsid w:val="00CB4BAC"/>
    <w:rsid w:val="00CC390F"/>
    <w:rsid w:val="00CC4990"/>
    <w:rsid w:val="00CC79B6"/>
    <w:rsid w:val="00CD3B16"/>
    <w:rsid w:val="00CD3D85"/>
    <w:rsid w:val="00CD4A4B"/>
    <w:rsid w:val="00CE2E11"/>
    <w:rsid w:val="00CE5F03"/>
    <w:rsid w:val="00CF1251"/>
    <w:rsid w:val="00CF4261"/>
    <w:rsid w:val="00CF5851"/>
    <w:rsid w:val="00D00A11"/>
    <w:rsid w:val="00D015B9"/>
    <w:rsid w:val="00D05CDA"/>
    <w:rsid w:val="00D12C35"/>
    <w:rsid w:val="00D1363F"/>
    <w:rsid w:val="00D20320"/>
    <w:rsid w:val="00D21339"/>
    <w:rsid w:val="00D24B9E"/>
    <w:rsid w:val="00D27A18"/>
    <w:rsid w:val="00D36537"/>
    <w:rsid w:val="00D41DF0"/>
    <w:rsid w:val="00D42B49"/>
    <w:rsid w:val="00D46332"/>
    <w:rsid w:val="00D501F9"/>
    <w:rsid w:val="00D508D1"/>
    <w:rsid w:val="00D53CB6"/>
    <w:rsid w:val="00D57BF6"/>
    <w:rsid w:val="00D63ACA"/>
    <w:rsid w:val="00D64342"/>
    <w:rsid w:val="00D64842"/>
    <w:rsid w:val="00D67358"/>
    <w:rsid w:val="00D74D53"/>
    <w:rsid w:val="00D80CF2"/>
    <w:rsid w:val="00D81E2F"/>
    <w:rsid w:val="00D83259"/>
    <w:rsid w:val="00D84C77"/>
    <w:rsid w:val="00D867A4"/>
    <w:rsid w:val="00D901E5"/>
    <w:rsid w:val="00D93E21"/>
    <w:rsid w:val="00DA548C"/>
    <w:rsid w:val="00DB2F4D"/>
    <w:rsid w:val="00DB370F"/>
    <w:rsid w:val="00DB3A38"/>
    <w:rsid w:val="00DB3FA2"/>
    <w:rsid w:val="00DB40BC"/>
    <w:rsid w:val="00DC1154"/>
    <w:rsid w:val="00DC25A0"/>
    <w:rsid w:val="00DD093F"/>
    <w:rsid w:val="00DF4207"/>
    <w:rsid w:val="00DF7CF5"/>
    <w:rsid w:val="00E003D5"/>
    <w:rsid w:val="00E01F53"/>
    <w:rsid w:val="00E049A7"/>
    <w:rsid w:val="00E12004"/>
    <w:rsid w:val="00E15D25"/>
    <w:rsid w:val="00E21FB5"/>
    <w:rsid w:val="00E27A0F"/>
    <w:rsid w:val="00E343B6"/>
    <w:rsid w:val="00E4098F"/>
    <w:rsid w:val="00E47762"/>
    <w:rsid w:val="00E50F7C"/>
    <w:rsid w:val="00E521C5"/>
    <w:rsid w:val="00E546B6"/>
    <w:rsid w:val="00E606CB"/>
    <w:rsid w:val="00E63724"/>
    <w:rsid w:val="00E642F0"/>
    <w:rsid w:val="00E71D62"/>
    <w:rsid w:val="00E771E4"/>
    <w:rsid w:val="00E8022C"/>
    <w:rsid w:val="00E81204"/>
    <w:rsid w:val="00E877B2"/>
    <w:rsid w:val="00E97EE5"/>
    <w:rsid w:val="00EA1267"/>
    <w:rsid w:val="00EA29CB"/>
    <w:rsid w:val="00EA7573"/>
    <w:rsid w:val="00EB1535"/>
    <w:rsid w:val="00EB157D"/>
    <w:rsid w:val="00EB385F"/>
    <w:rsid w:val="00EB4AD2"/>
    <w:rsid w:val="00EB4B7A"/>
    <w:rsid w:val="00EB57B0"/>
    <w:rsid w:val="00ED34D0"/>
    <w:rsid w:val="00EE50E2"/>
    <w:rsid w:val="00EF0DE1"/>
    <w:rsid w:val="00EF6B9F"/>
    <w:rsid w:val="00EF782D"/>
    <w:rsid w:val="00F004DA"/>
    <w:rsid w:val="00F062A3"/>
    <w:rsid w:val="00F13046"/>
    <w:rsid w:val="00F13853"/>
    <w:rsid w:val="00F13AB7"/>
    <w:rsid w:val="00F170F8"/>
    <w:rsid w:val="00F17B75"/>
    <w:rsid w:val="00F24BA9"/>
    <w:rsid w:val="00F25687"/>
    <w:rsid w:val="00F26BB6"/>
    <w:rsid w:val="00F30F8F"/>
    <w:rsid w:val="00F31000"/>
    <w:rsid w:val="00F3127C"/>
    <w:rsid w:val="00F32EB3"/>
    <w:rsid w:val="00F36055"/>
    <w:rsid w:val="00F370C7"/>
    <w:rsid w:val="00F41E30"/>
    <w:rsid w:val="00F529C0"/>
    <w:rsid w:val="00F61F10"/>
    <w:rsid w:val="00F6552C"/>
    <w:rsid w:val="00F67532"/>
    <w:rsid w:val="00F85988"/>
    <w:rsid w:val="00F905DB"/>
    <w:rsid w:val="00F9097D"/>
    <w:rsid w:val="00F912AA"/>
    <w:rsid w:val="00F9240C"/>
    <w:rsid w:val="00F93842"/>
    <w:rsid w:val="00F96992"/>
    <w:rsid w:val="00FA2BD2"/>
    <w:rsid w:val="00FB0652"/>
    <w:rsid w:val="00FB1E18"/>
    <w:rsid w:val="00FB1FF8"/>
    <w:rsid w:val="00FB227A"/>
    <w:rsid w:val="00FB7CD2"/>
    <w:rsid w:val="00FC0C10"/>
    <w:rsid w:val="00FC7C8A"/>
    <w:rsid w:val="00FD21BF"/>
    <w:rsid w:val="00FD685D"/>
    <w:rsid w:val="00FE55AC"/>
    <w:rsid w:val="00FE78A8"/>
    <w:rsid w:val="00FF5339"/>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1E5AA"/>
  <w15:docId w15:val="{5E2C35EC-E2F1-4652-B6D7-21568B2F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865"/>
    <w:pPr>
      <w:jc w:val="both"/>
    </w:pPr>
    <w:rPr>
      <w:rFonts w:ascii="Times New Roman" w:hAnsi="Times New Roman"/>
      <w:color w:val="000000"/>
      <w:sz w:val="24"/>
      <w:szCs w:val="22"/>
      <w:lang w:eastAsia="en-US"/>
    </w:rPr>
  </w:style>
  <w:style w:type="paragraph" w:styleId="Naslov1">
    <w:name w:val="heading 1"/>
    <w:basedOn w:val="Normal"/>
    <w:next w:val="Normal"/>
    <w:link w:val="Naslov1Char"/>
    <w:autoRedefine/>
    <w:uiPriority w:val="9"/>
    <w:qFormat/>
    <w:rsid w:val="007D6865"/>
    <w:pPr>
      <w:keepNext/>
      <w:keepLines/>
      <w:outlineLvl w:val="0"/>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D6865"/>
    <w:rPr>
      <w:rFonts w:ascii="Times New Roman" w:eastAsia="Times New Roman" w:hAnsi="Times New Roman" w:cs="Times New Roman"/>
      <w:b/>
      <w:bCs/>
      <w:color w:val="000000"/>
      <w:sz w:val="28"/>
      <w:szCs w:val="28"/>
    </w:rPr>
  </w:style>
  <w:style w:type="paragraph" w:customStyle="1" w:styleId="Autori">
    <w:name w:val="Autori"/>
    <w:basedOn w:val="Normal"/>
    <w:qFormat/>
    <w:rsid w:val="008F211E"/>
    <w:rPr>
      <w:noProof/>
      <w:szCs w:val="24"/>
    </w:rPr>
  </w:style>
  <w:style w:type="paragraph" w:customStyle="1" w:styleId="adresa">
    <w:name w:val="adresa"/>
    <w:basedOn w:val="Normal"/>
    <w:qFormat/>
    <w:rsid w:val="00F912AA"/>
    <w:pPr>
      <w:jc w:val="left"/>
    </w:pPr>
    <w:rPr>
      <w:i/>
      <w:noProof/>
      <w:sz w:val="22"/>
    </w:rPr>
  </w:style>
  <w:style w:type="character" w:styleId="Hiperveza">
    <w:name w:val="Hyperlink"/>
    <w:uiPriority w:val="99"/>
    <w:unhideWhenUsed/>
    <w:rsid w:val="00F912AA"/>
    <w:rPr>
      <w:color w:val="0000FF"/>
      <w:u w:val="single"/>
    </w:rPr>
  </w:style>
  <w:style w:type="table" w:styleId="Reetkatablice">
    <w:name w:val="Table Grid"/>
    <w:basedOn w:val="Obinatablica"/>
    <w:uiPriority w:val="59"/>
    <w:rsid w:val="00BF4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teratura">
    <w:name w:val="literatura"/>
    <w:basedOn w:val="Normal"/>
    <w:qFormat/>
    <w:rsid w:val="00714534"/>
    <w:pPr>
      <w:ind w:firstLine="284"/>
    </w:pPr>
  </w:style>
  <w:style w:type="paragraph" w:styleId="Tekstbalonia">
    <w:name w:val="Balloon Text"/>
    <w:basedOn w:val="Normal"/>
    <w:semiHidden/>
    <w:rsid w:val="00852268"/>
    <w:rPr>
      <w:rFonts w:ascii="Tahoma" w:hAnsi="Tahoma" w:cs="Tahoma"/>
      <w:sz w:val="16"/>
      <w:szCs w:val="16"/>
    </w:rPr>
  </w:style>
  <w:style w:type="paragraph" w:styleId="Tijeloteksta">
    <w:name w:val="Body Text"/>
    <w:aliases w:val=" uvlaka 3"/>
    <w:basedOn w:val="Normal"/>
    <w:link w:val="TijelotekstaChar"/>
    <w:rsid w:val="008F0A95"/>
    <w:pPr>
      <w:spacing w:line="360" w:lineRule="auto"/>
    </w:pPr>
    <w:rPr>
      <w:rFonts w:eastAsia="Times New Roman"/>
      <w:color w:val="auto"/>
      <w:szCs w:val="24"/>
      <w:lang w:eastAsia="hr-HR"/>
    </w:rPr>
  </w:style>
  <w:style w:type="paragraph" w:styleId="Zaglavlje">
    <w:name w:val="header"/>
    <w:basedOn w:val="Normal"/>
    <w:rsid w:val="00E15D25"/>
    <w:pPr>
      <w:tabs>
        <w:tab w:val="center" w:pos="4536"/>
        <w:tab w:val="right" w:pos="9072"/>
      </w:tabs>
      <w:jc w:val="left"/>
    </w:pPr>
    <w:rPr>
      <w:rFonts w:eastAsia="Times New Roman"/>
      <w:color w:val="auto"/>
      <w:szCs w:val="24"/>
      <w:lang w:eastAsia="hr-HR"/>
    </w:rPr>
  </w:style>
  <w:style w:type="paragraph" w:styleId="Podnoje">
    <w:name w:val="footer"/>
    <w:basedOn w:val="Normal"/>
    <w:rsid w:val="00E15D25"/>
    <w:pPr>
      <w:tabs>
        <w:tab w:val="center" w:pos="4536"/>
        <w:tab w:val="right" w:pos="9072"/>
      </w:tabs>
    </w:pPr>
  </w:style>
  <w:style w:type="character" w:styleId="Istaknuto">
    <w:name w:val="Emphasis"/>
    <w:uiPriority w:val="20"/>
    <w:qFormat/>
    <w:rsid w:val="00CB4BAC"/>
    <w:rPr>
      <w:b/>
      <w:bCs/>
      <w:i w:val="0"/>
      <w:iCs w:val="0"/>
    </w:rPr>
  </w:style>
  <w:style w:type="character" w:styleId="Referencakomentara">
    <w:name w:val="annotation reference"/>
    <w:semiHidden/>
    <w:rsid w:val="00B00512"/>
    <w:rPr>
      <w:sz w:val="16"/>
      <w:szCs w:val="16"/>
    </w:rPr>
  </w:style>
  <w:style w:type="paragraph" w:styleId="Tekstkomentara">
    <w:name w:val="annotation text"/>
    <w:basedOn w:val="Normal"/>
    <w:semiHidden/>
    <w:rsid w:val="00B00512"/>
    <w:rPr>
      <w:sz w:val="20"/>
      <w:szCs w:val="20"/>
    </w:rPr>
  </w:style>
  <w:style w:type="paragraph" w:styleId="Predmetkomentara">
    <w:name w:val="annotation subject"/>
    <w:basedOn w:val="Tekstkomentara"/>
    <w:next w:val="Tekstkomentara"/>
    <w:semiHidden/>
    <w:rsid w:val="00B00512"/>
    <w:rPr>
      <w:b/>
      <w:bCs/>
    </w:rPr>
  </w:style>
  <w:style w:type="character" w:styleId="SlijeenaHiperveza">
    <w:name w:val="FollowedHyperlink"/>
    <w:uiPriority w:val="99"/>
    <w:semiHidden/>
    <w:unhideWhenUsed/>
    <w:rsid w:val="003A72D2"/>
    <w:rPr>
      <w:color w:val="800080"/>
      <w:u w:val="single"/>
    </w:rPr>
  </w:style>
  <w:style w:type="character" w:customStyle="1" w:styleId="TijelotekstaChar">
    <w:name w:val="Tijelo teksta Char"/>
    <w:aliases w:val=" uvlaka 3 Char"/>
    <w:basedOn w:val="Zadanifontodlomka"/>
    <w:link w:val="Tijeloteksta"/>
    <w:rsid w:val="00875D29"/>
    <w:rPr>
      <w:rFonts w:ascii="Times New Roman" w:eastAsia="Times New Roman" w:hAnsi="Times New Roman"/>
      <w:sz w:val="24"/>
      <w:szCs w:val="24"/>
    </w:rPr>
  </w:style>
  <w:style w:type="character" w:styleId="Tekstrezerviranogmjesta">
    <w:name w:val="Placeholder Text"/>
    <w:basedOn w:val="Zadanifontodlomka"/>
    <w:uiPriority w:val="99"/>
    <w:semiHidden/>
    <w:rsid w:val="002930B8"/>
    <w:rPr>
      <w:color w:val="808080"/>
    </w:rPr>
  </w:style>
  <w:style w:type="paragraph" w:styleId="Revizija">
    <w:name w:val="Revision"/>
    <w:hidden/>
    <w:uiPriority w:val="99"/>
    <w:semiHidden/>
    <w:rsid w:val="00B14790"/>
    <w:rPr>
      <w:rFonts w:ascii="Times New Roman" w:hAnsi="Times New Roman"/>
      <w:color w:val="000000"/>
      <w:sz w:val="24"/>
      <w:szCs w:val="22"/>
      <w:lang w:eastAsia="en-US"/>
    </w:rPr>
  </w:style>
  <w:style w:type="character" w:customStyle="1" w:styleId="st">
    <w:name w:val="st"/>
    <w:basedOn w:val="Zadanifontodlomka"/>
    <w:rsid w:val="007D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5704">
      <w:bodyDiv w:val="1"/>
      <w:marLeft w:val="0"/>
      <w:marRight w:val="0"/>
      <w:marTop w:val="0"/>
      <w:marBottom w:val="0"/>
      <w:divBdr>
        <w:top w:val="none" w:sz="0" w:space="0" w:color="auto"/>
        <w:left w:val="none" w:sz="0" w:space="0" w:color="auto"/>
        <w:bottom w:val="none" w:sz="0" w:space="0" w:color="auto"/>
        <w:right w:val="none" w:sz="0" w:space="0" w:color="auto"/>
      </w:divBdr>
    </w:div>
    <w:div w:id="224728002">
      <w:bodyDiv w:val="1"/>
      <w:marLeft w:val="0"/>
      <w:marRight w:val="0"/>
      <w:marTop w:val="0"/>
      <w:marBottom w:val="0"/>
      <w:divBdr>
        <w:top w:val="none" w:sz="0" w:space="0" w:color="auto"/>
        <w:left w:val="none" w:sz="0" w:space="0" w:color="auto"/>
        <w:bottom w:val="none" w:sz="0" w:space="0" w:color="auto"/>
        <w:right w:val="none" w:sz="0" w:space="0" w:color="auto"/>
      </w:divBdr>
    </w:div>
    <w:div w:id="833230164">
      <w:bodyDiv w:val="1"/>
      <w:marLeft w:val="0"/>
      <w:marRight w:val="0"/>
      <w:marTop w:val="0"/>
      <w:marBottom w:val="0"/>
      <w:divBdr>
        <w:top w:val="none" w:sz="0" w:space="0" w:color="auto"/>
        <w:left w:val="none" w:sz="0" w:space="0" w:color="auto"/>
        <w:bottom w:val="none" w:sz="0" w:space="0" w:color="auto"/>
        <w:right w:val="none" w:sz="0" w:space="0" w:color="auto"/>
      </w:divBdr>
    </w:div>
    <w:div w:id="1182548231">
      <w:bodyDiv w:val="1"/>
      <w:marLeft w:val="0"/>
      <w:marRight w:val="0"/>
      <w:marTop w:val="0"/>
      <w:marBottom w:val="0"/>
      <w:divBdr>
        <w:top w:val="none" w:sz="0" w:space="0" w:color="auto"/>
        <w:left w:val="none" w:sz="0" w:space="0" w:color="auto"/>
        <w:bottom w:val="none" w:sz="0" w:space="0" w:color="auto"/>
        <w:right w:val="none" w:sz="0" w:space="0" w:color="auto"/>
      </w:divBdr>
    </w:div>
    <w:div w:id="1408335085">
      <w:bodyDiv w:val="1"/>
      <w:marLeft w:val="0"/>
      <w:marRight w:val="0"/>
      <w:marTop w:val="0"/>
      <w:marBottom w:val="0"/>
      <w:divBdr>
        <w:top w:val="none" w:sz="0" w:space="0" w:color="auto"/>
        <w:left w:val="none" w:sz="0" w:space="0" w:color="auto"/>
        <w:bottom w:val="none" w:sz="0" w:space="0" w:color="auto"/>
        <w:right w:val="none" w:sz="0" w:space="0" w:color="auto"/>
      </w:divBdr>
    </w:div>
    <w:div w:id="1668635568">
      <w:bodyDiv w:val="1"/>
      <w:marLeft w:val="0"/>
      <w:marRight w:val="0"/>
      <w:marTop w:val="0"/>
      <w:marBottom w:val="0"/>
      <w:divBdr>
        <w:top w:val="none" w:sz="0" w:space="0" w:color="auto"/>
        <w:left w:val="none" w:sz="0" w:space="0" w:color="auto"/>
        <w:bottom w:val="none" w:sz="0" w:space="0" w:color="auto"/>
        <w:right w:val="none" w:sz="0" w:space="0" w:color="auto"/>
      </w:divBdr>
    </w:div>
    <w:div w:id="16699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SA2018_rad_predloza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574B79-271A-41BF-8DD9-64500DEB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SA2018_rad_predlozak</Template>
  <TotalTime>98</TotalTime>
  <Pages>1</Pages>
  <Words>2176</Words>
  <Characters>12405</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SA2010 Rad Predlozak</vt:lpstr>
      <vt:lpstr>SA2010 Rad Predlozak</vt:lpstr>
    </vt:vector>
  </TitlesOfParts>
  <Company>HP</Company>
  <LinksUpToDate>false</LinksUpToDate>
  <CharactersWithSpaces>14552</CharactersWithSpaces>
  <SharedDoc>false</SharedDoc>
  <HLinks>
    <vt:vector size="12" baseType="variant">
      <vt:variant>
        <vt:i4>4980737</vt:i4>
      </vt:variant>
      <vt:variant>
        <vt:i4>3</vt:i4>
      </vt:variant>
      <vt:variant>
        <vt:i4>0</vt:i4>
      </vt:variant>
      <vt:variant>
        <vt:i4>5</vt:i4>
      </vt:variant>
      <vt:variant>
        <vt:lpwstr>http://www.sciencedirect.com/</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SA2010 Rad Predlozak</dc:title>
  <dc:creator>Mateja Pećina</dc:creator>
  <cp:lastModifiedBy>Mateja Pećina</cp:lastModifiedBy>
  <cp:revision>4</cp:revision>
  <cp:lastPrinted>2018-11-26T13:08:00Z</cp:lastPrinted>
  <dcterms:created xsi:type="dcterms:W3CDTF">2018-11-26T12:04:00Z</dcterms:created>
  <dcterms:modified xsi:type="dcterms:W3CDTF">2018-11-26T13:47:00Z</dcterms:modified>
</cp:coreProperties>
</file>