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69836" w14:textId="77777777" w:rsidR="008A0376" w:rsidRPr="002959A9" w:rsidRDefault="008A0376" w:rsidP="0029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59A9">
        <w:rPr>
          <w:rFonts w:ascii="Times New Roman" w:hAnsi="Times New Roman" w:cs="Times New Roman"/>
          <w:sz w:val="24"/>
          <w:szCs w:val="24"/>
        </w:rPr>
        <w:t>ULOGA DOKTORA DENTALNE MEDICINE U LIJEČENJU TRANSPLANTIRANIH PACIJENATA</w:t>
      </w:r>
    </w:p>
    <w:p w14:paraId="7DEA2C26" w14:textId="77777777" w:rsidR="008A0376" w:rsidRPr="002959A9" w:rsidRDefault="00C00C3C" w:rsidP="0029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A9">
        <w:rPr>
          <w:rFonts w:ascii="Times New Roman" w:hAnsi="Times New Roman" w:cs="Times New Roman"/>
          <w:sz w:val="24"/>
          <w:szCs w:val="24"/>
        </w:rPr>
        <w:t xml:space="preserve">Karmen Santini¹, </w:t>
      </w:r>
      <w:r w:rsidR="008A0376" w:rsidRPr="002959A9">
        <w:rPr>
          <w:rFonts w:ascii="Times New Roman" w:hAnsi="Times New Roman" w:cs="Times New Roman"/>
          <w:sz w:val="24"/>
          <w:szCs w:val="24"/>
        </w:rPr>
        <w:t>Luka Morelato, dr.med.dent.²</w:t>
      </w:r>
    </w:p>
    <w:p w14:paraId="1BACBA86" w14:textId="77777777" w:rsidR="008A0376" w:rsidRPr="002959A9" w:rsidRDefault="008A0376" w:rsidP="0029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A9">
        <w:rPr>
          <w:rFonts w:ascii="Times New Roman" w:hAnsi="Times New Roman" w:cs="Times New Roman"/>
          <w:sz w:val="24"/>
          <w:szCs w:val="24"/>
        </w:rPr>
        <w:t>doc.dr.sc. Dragana Gabrić³</w:t>
      </w:r>
    </w:p>
    <w:p w14:paraId="4C7C5EF3" w14:textId="77777777" w:rsidR="008A0376" w:rsidRPr="002959A9" w:rsidRDefault="008A0376" w:rsidP="00295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A9">
        <w:rPr>
          <w:rFonts w:ascii="Times New Roman" w:hAnsi="Times New Roman" w:cs="Times New Roman"/>
          <w:sz w:val="24"/>
          <w:szCs w:val="24"/>
        </w:rPr>
        <w:t>[1] studentica šeste godine</w:t>
      </w:r>
    </w:p>
    <w:p w14:paraId="5A5379ED" w14:textId="77777777" w:rsidR="008A0376" w:rsidRPr="002959A9" w:rsidRDefault="008A0376" w:rsidP="00295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A9">
        <w:rPr>
          <w:rFonts w:ascii="Times New Roman" w:hAnsi="Times New Roman" w:cs="Times New Roman"/>
          <w:sz w:val="24"/>
          <w:szCs w:val="24"/>
        </w:rPr>
        <w:t>[2] Katedra za oralnu kirurgiju, Medicinski fakultet Sveučilišta u Rijeci</w:t>
      </w:r>
    </w:p>
    <w:p w14:paraId="4F795748" w14:textId="77777777" w:rsidR="008A0376" w:rsidRPr="002959A9" w:rsidRDefault="008A0376" w:rsidP="0029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A9">
        <w:rPr>
          <w:rFonts w:ascii="Times New Roman" w:hAnsi="Times New Roman" w:cs="Times New Roman"/>
          <w:sz w:val="24"/>
          <w:szCs w:val="24"/>
        </w:rPr>
        <w:t>[3] Zavod za oralnu kirurgiju, Stomatološki fakultet Sveučilišta u Zagrebu</w:t>
      </w:r>
    </w:p>
    <w:p w14:paraId="7D164B5B" w14:textId="77777777" w:rsidR="008A0376" w:rsidRPr="002959A9" w:rsidRDefault="008A0376" w:rsidP="0029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5D8F8" w14:textId="77777777" w:rsidR="0000061A" w:rsidRPr="002959A9" w:rsidRDefault="008A0376" w:rsidP="0029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A9">
        <w:rPr>
          <w:rFonts w:ascii="Times New Roman" w:hAnsi="Times New Roman" w:cs="Times New Roman"/>
          <w:sz w:val="24"/>
          <w:szCs w:val="24"/>
        </w:rPr>
        <w:t xml:space="preserve">Transplantacija organa u pojedinim medicinskim stanjima (hematološki maligniteti) predstavlja jedinu mogućnost liječenja koje </w:t>
      </w:r>
      <w:r w:rsidR="007128EF" w:rsidRPr="002959A9">
        <w:rPr>
          <w:rFonts w:ascii="Times New Roman" w:hAnsi="Times New Roman" w:cs="Times New Roman"/>
          <w:sz w:val="24"/>
          <w:szCs w:val="24"/>
        </w:rPr>
        <w:t>omogućava</w:t>
      </w:r>
      <w:r w:rsidRPr="002959A9">
        <w:rPr>
          <w:rFonts w:ascii="Times New Roman" w:hAnsi="Times New Roman" w:cs="Times New Roman"/>
          <w:sz w:val="24"/>
          <w:szCs w:val="24"/>
        </w:rPr>
        <w:t xml:space="preserve"> preživljavanje, </w:t>
      </w:r>
      <w:r w:rsidR="007128EF" w:rsidRPr="002959A9">
        <w:rPr>
          <w:rFonts w:ascii="Times New Roman" w:hAnsi="Times New Roman" w:cs="Times New Roman"/>
          <w:sz w:val="24"/>
          <w:szCs w:val="24"/>
        </w:rPr>
        <w:t>dok</w:t>
      </w:r>
      <w:r w:rsidRPr="002959A9">
        <w:rPr>
          <w:rFonts w:ascii="Times New Roman" w:hAnsi="Times New Roman" w:cs="Times New Roman"/>
          <w:sz w:val="24"/>
          <w:szCs w:val="24"/>
        </w:rPr>
        <w:t xml:space="preserve"> u drugima (kardiomiopatija, kronične bubrežne bolesti, dijabetes, ciroza jetre) stvara uvjete koji </w:t>
      </w:r>
      <w:r w:rsidR="007128EF" w:rsidRPr="002959A9">
        <w:rPr>
          <w:rFonts w:ascii="Times New Roman" w:hAnsi="Times New Roman" w:cs="Times New Roman"/>
          <w:sz w:val="24"/>
          <w:szCs w:val="24"/>
        </w:rPr>
        <w:t>omogućavaju</w:t>
      </w:r>
      <w:r w:rsidRPr="002959A9">
        <w:rPr>
          <w:rFonts w:ascii="Times New Roman" w:hAnsi="Times New Roman" w:cs="Times New Roman"/>
          <w:sz w:val="24"/>
          <w:szCs w:val="24"/>
        </w:rPr>
        <w:t xml:space="preserve"> kontrolu osnovne bolesti i bolju kvalitetu života (1). Zahvaljujući otkriću imunosupresivnih lijekova i razvojem kirurških tehnika, posljednjih godina, transplantacija organa se ustalila u suvremenoj medicini (1, 2). Cilj ovog članka je prikazati dentalno liječenje transplantiranih pacijenata te najčešće probleme s kojima se možemo susresti u liječenju istih. </w:t>
      </w:r>
    </w:p>
    <w:p w14:paraId="07718620" w14:textId="77777777" w:rsidR="007128EF" w:rsidRPr="002959A9" w:rsidRDefault="007128EF" w:rsidP="0029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A9">
        <w:rPr>
          <w:rFonts w:ascii="Times New Roman" w:hAnsi="Times New Roman" w:cs="Times New Roman"/>
          <w:sz w:val="24"/>
          <w:szCs w:val="24"/>
        </w:rPr>
        <w:t>OSNOVNI PRINCIPI LIJEČENJA</w:t>
      </w:r>
    </w:p>
    <w:p w14:paraId="29333FE9" w14:textId="77777777" w:rsidR="00C54B14" w:rsidRPr="002959A9" w:rsidRDefault="008A0376" w:rsidP="0029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A9">
        <w:rPr>
          <w:rFonts w:ascii="Times New Roman" w:hAnsi="Times New Roman" w:cs="Times New Roman"/>
          <w:sz w:val="24"/>
          <w:szCs w:val="24"/>
        </w:rPr>
        <w:t>Osnovni principi transplantacije temelje se na imunološkom podudaranju donatora i primatelja te potrebi za imunosupresivnom terapijom koja je nužna za prevenciju odbacivanja organa (</w:t>
      </w:r>
      <w:r w:rsidR="009E584D" w:rsidRPr="002959A9">
        <w:rPr>
          <w:rFonts w:ascii="Times New Roman" w:hAnsi="Times New Roman" w:cs="Times New Roman"/>
          <w:sz w:val="24"/>
          <w:szCs w:val="24"/>
        </w:rPr>
        <w:t>1-4</w:t>
      </w:r>
      <w:r w:rsidRPr="002959A9">
        <w:rPr>
          <w:rFonts w:ascii="Times New Roman" w:hAnsi="Times New Roman" w:cs="Times New Roman"/>
          <w:sz w:val="24"/>
          <w:szCs w:val="24"/>
        </w:rPr>
        <w:t>). Danas se najčešće transplantiraju bubrezi, jetra, srce, gušt</w:t>
      </w:r>
      <w:r w:rsidR="007540E9" w:rsidRPr="002959A9">
        <w:rPr>
          <w:rFonts w:ascii="Times New Roman" w:hAnsi="Times New Roman" w:cs="Times New Roman"/>
          <w:sz w:val="24"/>
          <w:szCs w:val="24"/>
        </w:rPr>
        <w:t xml:space="preserve">erača, pluća i matične stanice </w:t>
      </w:r>
      <w:r w:rsidR="00A35017" w:rsidRPr="002959A9">
        <w:rPr>
          <w:rFonts w:ascii="Times New Roman" w:hAnsi="Times New Roman" w:cs="Times New Roman"/>
          <w:sz w:val="24"/>
          <w:szCs w:val="24"/>
        </w:rPr>
        <w:t>(Slika 1</w:t>
      </w:r>
      <w:r w:rsidR="007540E9" w:rsidRPr="002959A9">
        <w:rPr>
          <w:rFonts w:ascii="Times New Roman" w:hAnsi="Times New Roman" w:cs="Times New Roman"/>
          <w:sz w:val="24"/>
          <w:szCs w:val="24"/>
        </w:rPr>
        <w:t>) (1,</w:t>
      </w:r>
      <w:r w:rsidR="00C00C3C" w:rsidRPr="002959A9">
        <w:rPr>
          <w:rFonts w:ascii="Times New Roman" w:hAnsi="Times New Roman" w:cs="Times New Roman"/>
          <w:sz w:val="24"/>
          <w:szCs w:val="24"/>
        </w:rPr>
        <w:t xml:space="preserve"> 3, 5).</w:t>
      </w:r>
    </w:p>
    <w:p w14:paraId="2E278FA8" w14:textId="77777777" w:rsidR="002625B5" w:rsidRPr="002959A9" w:rsidRDefault="009664FC" w:rsidP="00E1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A9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F7079C1" wp14:editId="18FBD28F">
            <wp:extent cx="2918460" cy="2399111"/>
            <wp:effectExtent l="0" t="0" r="0" b="0"/>
            <wp:docPr id="3" name="Slika 3" descr="C:\Users\User\AppData\Local\Microsoft\Windows\INetCacheContent.Word\broj transpla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broj transplat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476" cy="268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EFAD8" w14:textId="77777777" w:rsidR="00DE754F" w:rsidRPr="002959A9" w:rsidRDefault="00DE754F" w:rsidP="00FE64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59A9">
        <w:rPr>
          <w:rFonts w:ascii="Times New Roman" w:hAnsi="Times New Roman" w:cs="Times New Roman"/>
          <w:sz w:val="20"/>
          <w:szCs w:val="20"/>
        </w:rPr>
        <w:t>Slika 1. Broj transplantiranih organa u RH. Preuzeto iz (5).</w:t>
      </w:r>
    </w:p>
    <w:p w14:paraId="3FAA1001" w14:textId="77777777" w:rsidR="009B1A3F" w:rsidRPr="002959A9" w:rsidRDefault="008A03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9A9">
        <w:rPr>
          <w:rFonts w:ascii="Times New Roman" w:hAnsi="Times New Roman" w:cs="Times New Roman"/>
          <w:sz w:val="24"/>
          <w:szCs w:val="24"/>
        </w:rPr>
        <w:lastRenderedPageBreak/>
        <w:t xml:space="preserve">Posljednjih godina, broj transplantacija znatno </w:t>
      </w:r>
      <w:r w:rsidR="00343BC0" w:rsidRPr="002959A9">
        <w:rPr>
          <w:rFonts w:ascii="Times New Roman" w:hAnsi="Times New Roman" w:cs="Times New Roman"/>
          <w:sz w:val="24"/>
          <w:szCs w:val="24"/>
        </w:rPr>
        <w:t xml:space="preserve">se </w:t>
      </w:r>
      <w:r w:rsidRPr="002959A9">
        <w:rPr>
          <w:rFonts w:ascii="Times New Roman" w:hAnsi="Times New Roman" w:cs="Times New Roman"/>
          <w:sz w:val="24"/>
          <w:szCs w:val="24"/>
        </w:rPr>
        <w:t>povećao te stoga ne iznenađuje činjenica da se sve češće susrećemo s transplantiranim pacijentima (3</w:t>
      </w:r>
      <w:r w:rsidR="000D0D8E" w:rsidRPr="002959A9">
        <w:rPr>
          <w:rFonts w:ascii="Times New Roman" w:hAnsi="Times New Roman" w:cs="Times New Roman"/>
          <w:sz w:val="24"/>
          <w:szCs w:val="24"/>
        </w:rPr>
        <w:t>).</w:t>
      </w:r>
      <w:r w:rsidR="000D0D8E" w:rsidRPr="002959A9">
        <w:rPr>
          <w:rFonts w:ascii="Times New Roman" w:eastAsia="Times New Roman" w:hAnsi="Times New Roman" w:cs="Times New Roman"/>
          <w:sz w:val="24"/>
          <w:szCs w:val="24"/>
        </w:rPr>
        <w:t xml:space="preserve"> Zbog nedostatka kliničkih ispitivanja danas ne postoje čvrsti stavovi zasnovani na dokazima koji bi bili vodilja u pristupu transplantiranim pacijentima</w:t>
      </w:r>
      <w:r w:rsidR="002D3F8A" w:rsidRPr="0029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39E" w:rsidRPr="002959A9">
        <w:rPr>
          <w:rFonts w:ascii="Times New Roman" w:eastAsia="Times New Roman" w:hAnsi="Times New Roman" w:cs="Times New Roman"/>
          <w:sz w:val="24"/>
          <w:szCs w:val="24"/>
        </w:rPr>
        <w:t>(</w:t>
      </w:r>
      <w:r w:rsidR="00A37A0F" w:rsidRPr="002959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6).</w:t>
      </w:r>
      <w:r w:rsidR="0000061A" w:rsidRPr="0029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34C08A" w14:textId="77777777" w:rsidR="007128EF" w:rsidRPr="002959A9" w:rsidRDefault="008A0376" w:rsidP="00A37A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A9">
        <w:rPr>
          <w:rFonts w:ascii="Times New Roman" w:hAnsi="Times New Roman" w:cs="Times New Roman"/>
          <w:sz w:val="24"/>
          <w:szCs w:val="24"/>
        </w:rPr>
        <w:t>Doktor dentalne medicine mora biti dio medicinskog tima za transplantaciju i sudjelovati u sveobuhvatnom liječenju ovakvih pacijenata (1, 4</w:t>
      </w:r>
      <w:r w:rsidR="002978D7" w:rsidRPr="002959A9">
        <w:rPr>
          <w:rFonts w:ascii="Times New Roman" w:hAnsi="Times New Roman" w:cs="Times New Roman"/>
          <w:sz w:val="24"/>
          <w:szCs w:val="24"/>
        </w:rPr>
        <w:t>-</w:t>
      </w:r>
      <w:r w:rsidR="00A37A0F" w:rsidRPr="002959A9">
        <w:rPr>
          <w:rFonts w:ascii="Times New Roman" w:hAnsi="Times New Roman" w:cs="Times New Roman"/>
          <w:sz w:val="24"/>
          <w:szCs w:val="24"/>
        </w:rPr>
        <w:t>7</w:t>
      </w:r>
      <w:r w:rsidR="0091302A" w:rsidRPr="002959A9">
        <w:rPr>
          <w:rFonts w:ascii="Times New Roman" w:hAnsi="Times New Roman" w:cs="Times New Roman"/>
          <w:sz w:val="24"/>
          <w:szCs w:val="24"/>
        </w:rPr>
        <w:t xml:space="preserve">). </w:t>
      </w:r>
      <w:r w:rsidRPr="002959A9">
        <w:rPr>
          <w:rFonts w:ascii="Times New Roman" w:hAnsi="Times New Roman" w:cs="Times New Roman"/>
          <w:sz w:val="24"/>
          <w:szCs w:val="24"/>
        </w:rPr>
        <w:t>Za razliku od zdrave populacije, transplantirani pacijenti zahtijevaju prilagođeno dentalno liječenje (1, 4,</w:t>
      </w:r>
      <w:r w:rsidR="00756197" w:rsidRPr="002959A9">
        <w:rPr>
          <w:rFonts w:ascii="Times New Roman" w:hAnsi="Times New Roman" w:cs="Times New Roman"/>
          <w:sz w:val="24"/>
          <w:szCs w:val="24"/>
        </w:rPr>
        <w:t xml:space="preserve"> </w:t>
      </w:r>
      <w:r w:rsidR="002978D7" w:rsidRPr="002959A9">
        <w:rPr>
          <w:rFonts w:ascii="Times New Roman" w:hAnsi="Times New Roman" w:cs="Times New Roman"/>
          <w:sz w:val="24"/>
          <w:szCs w:val="24"/>
        </w:rPr>
        <w:t>7-</w:t>
      </w:r>
      <w:r w:rsidR="002625B5" w:rsidRPr="002959A9">
        <w:rPr>
          <w:rFonts w:ascii="Times New Roman" w:hAnsi="Times New Roman" w:cs="Times New Roman"/>
          <w:sz w:val="24"/>
          <w:szCs w:val="24"/>
        </w:rPr>
        <w:t>9</w:t>
      </w:r>
      <w:r w:rsidRPr="002959A9">
        <w:rPr>
          <w:rFonts w:ascii="Times New Roman" w:hAnsi="Times New Roman" w:cs="Times New Roman"/>
          <w:sz w:val="24"/>
          <w:szCs w:val="24"/>
        </w:rPr>
        <w:t xml:space="preserve">). Dobrim dentalnim planiranjem </w:t>
      </w:r>
      <w:r w:rsidR="00710D88" w:rsidRPr="002959A9">
        <w:rPr>
          <w:rFonts w:ascii="Times New Roman" w:hAnsi="Times New Roman" w:cs="Times New Roman"/>
          <w:sz w:val="24"/>
          <w:szCs w:val="24"/>
        </w:rPr>
        <w:t>u pretransplantacijskom</w:t>
      </w:r>
      <w:r w:rsidRPr="002959A9">
        <w:rPr>
          <w:rFonts w:ascii="Times New Roman" w:hAnsi="Times New Roman" w:cs="Times New Roman"/>
          <w:sz w:val="24"/>
          <w:szCs w:val="24"/>
        </w:rPr>
        <w:t xml:space="preserve"> i</w:t>
      </w:r>
      <w:r w:rsidR="00710D88" w:rsidRPr="002959A9">
        <w:rPr>
          <w:rFonts w:ascii="Times New Roman" w:hAnsi="Times New Roman" w:cs="Times New Roman"/>
          <w:sz w:val="24"/>
          <w:szCs w:val="24"/>
        </w:rPr>
        <w:t xml:space="preserve"> posttransplantacijskiom periodu</w:t>
      </w:r>
      <w:r w:rsidRPr="002959A9">
        <w:rPr>
          <w:rFonts w:ascii="Times New Roman" w:hAnsi="Times New Roman" w:cs="Times New Roman"/>
          <w:sz w:val="24"/>
          <w:szCs w:val="24"/>
        </w:rPr>
        <w:t xml:space="preserve">, pacijentu treba omogućiti dugoročno oralno zdravlje </w:t>
      </w:r>
      <w:r w:rsidR="00484BED" w:rsidRPr="002959A9">
        <w:rPr>
          <w:rFonts w:ascii="Times New Roman" w:hAnsi="Times New Roman" w:cs="Times New Roman"/>
          <w:sz w:val="24"/>
          <w:szCs w:val="24"/>
        </w:rPr>
        <w:t xml:space="preserve">i bolju kvalitetu života </w:t>
      </w:r>
      <w:r w:rsidRPr="002959A9">
        <w:rPr>
          <w:rFonts w:ascii="Times New Roman" w:hAnsi="Times New Roman" w:cs="Times New Roman"/>
          <w:sz w:val="24"/>
          <w:szCs w:val="24"/>
        </w:rPr>
        <w:t>(</w:t>
      </w:r>
      <w:r w:rsidR="009E584D" w:rsidRPr="002959A9">
        <w:rPr>
          <w:rFonts w:ascii="Times New Roman" w:hAnsi="Times New Roman" w:cs="Times New Roman"/>
          <w:sz w:val="24"/>
          <w:szCs w:val="24"/>
        </w:rPr>
        <w:t>1-4</w:t>
      </w:r>
      <w:r w:rsidRPr="002959A9">
        <w:rPr>
          <w:rFonts w:ascii="Times New Roman" w:hAnsi="Times New Roman" w:cs="Times New Roman"/>
          <w:sz w:val="24"/>
          <w:szCs w:val="24"/>
        </w:rPr>
        <w:t>).</w:t>
      </w:r>
      <w:r w:rsidR="00A37A0F" w:rsidRPr="002959A9">
        <w:rPr>
          <w:rFonts w:ascii="Times New Roman" w:hAnsi="Times New Roman" w:cs="Times New Roman"/>
          <w:sz w:val="24"/>
          <w:szCs w:val="24"/>
        </w:rPr>
        <w:t xml:space="preserve"> </w:t>
      </w:r>
      <w:r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>Naime, zbog smanjene obrane domaćina, postoji velika opasnost od komplikacija, uključujući</w:t>
      </w:r>
      <w:r w:rsidR="0091302A"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infekcije, </w:t>
      </w:r>
      <w:r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odbacivanje organa i/ili fatalni ishod (1, 4). </w:t>
      </w:r>
      <w:r w:rsidRPr="002959A9">
        <w:rPr>
          <w:rFonts w:ascii="Times New Roman" w:hAnsi="Times New Roman" w:cs="Times New Roman"/>
          <w:sz w:val="24"/>
          <w:szCs w:val="24"/>
        </w:rPr>
        <w:t>Nužno je raspraviti o trenutnom zdravstvenom i imunološkom stanju pacijenta te stupnju disfunkcije organa (4). Prije stomatološkog zahvata valja razmotriti i potrebu za antibiotskom profilaksom te procijeniti rizik od krvarenja i infekcij</w:t>
      </w:r>
      <w:r w:rsidR="00484BED" w:rsidRPr="002959A9">
        <w:rPr>
          <w:rFonts w:ascii="Times New Roman" w:hAnsi="Times New Roman" w:cs="Times New Roman"/>
          <w:sz w:val="24"/>
          <w:szCs w:val="24"/>
        </w:rPr>
        <w:t>a</w:t>
      </w:r>
      <w:r w:rsidR="00C00C3C" w:rsidRPr="002959A9">
        <w:rPr>
          <w:rFonts w:ascii="Times New Roman" w:hAnsi="Times New Roman" w:cs="Times New Roman"/>
          <w:sz w:val="24"/>
          <w:szCs w:val="24"/>
        </w:rPr>
        <w:t xml:space="preserve"> (4).</w:t>
      </w:r>
    </w:p>
    <w:p w14:paraId="54CB6797" w14:textId="77777777" w:rsidR="009E584D" w:rsidRPr="002959A9" w:rsidRDefault="009E584D" w:rsidP="00A37A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1F6A2" w14:textId="77777777" w:rsidR="000D0D8E" w:rsidRPr="002959A9" w:rsidRDefault="007128EF" w:rsidP="008A03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9A9">
        <w:rPr>
          <w:rFonts w:ascii="Times New Roman" w:hAnsi="Times New Roman" w:cs="Times New Roman"/>
          <w:sz w:val="24"/>
          <w:szCs w:val="24"/>
        </w:rPr>
        <w:t>PRETRANSPLANTACIJSKI PERIOD</w:t>
      </w:r>
      <w:r w:rsidR="000D0D8E" w:rsidRPr="0029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6F521B" w14:textId="77777777" w:rsidR="005E5E4E" w:rsidRPr="002959A9" w:rsidRDefault="007128EF" w:rsidP="000704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A9">
        <w:rPr>
          <w:rFonts w:ascii="Times New Roman" w:hAnsi="Times New Roman" w:cs="Times New Roman"/>
          <w:sz w:val="24"/>
          <w:szCs w:val="24"/>
        </w:rPr>
        <w:t>Posebna pozornost pridaje</w:t>
      </w:r>
      <w:r w:rsidR="00690733" w:rsidRPr="002959A9">
        <w:rPr>
          <w:rFonts w:ascii="Times New Roman" w:hAnsi="Times New Roman" w:cs="Times New Roman"/>
          <w:sz w:val="24"/>
          <w:szCs w:val="24"/>
        </w:rPr>
        <w:t xml:space="preserve"> se</w:t>
      </w:r>
      <w:r w:rsidRPr="002959A9">
        <w:rPr>
          <w:rFonts w:ascii="Times New Roman" w:hAnsi="Times New Roman" w:cs="Times New Roman"/>
          <w:sz w:val="24"/>
          <w:szCs w:val="24"/>
        </w:rPr>
        <w:t xml:space="preserve"> saniranju usne šupljine prije same transplantacije (1, 2, 4). </w:t>
      </w:r>
      <w:r w:rsidR="008A0376" w:rsidRPr="002959A9">
        <w:rPr>
          <w:rFonts w:ascii="Times New Roman" w:hAnsi="Times New Roman" w:cs="Times New Roman"/>
          <w:sz w:val="24"/>
          <w:szCs w:val="24"/>
        </w:rPr>
        <w:t>U pretransplantacijskom razdoblju dijagnostika se sastoji od uzimanja detaljne stomatološke anamneze, dentalne radiografije te opsežnog kliničkog pregleda cijele usne šupljine (</w:t>
      </w:r>
      <w:r w:rsidR="002625B5" w:rsidRPr="002959A9">
        <w:rPr>
          <w:rFonts w:ascii="Times New Roman" w:hAnsi="Times New Roman" w:cs="Times New Roman"/>
          <w:sz w:val="24"/>
          <w:szCs w:val="24"/>
        </w:rPr>
        <w:t xml:space="preserve">1, </w:t>
      </w:r>
      <w:r w:rsidR="00B47086" w:rsidRPr="002959A9">
        <w:rPr>
          <w:rFonts w:ascii="Times New Roman" w:hAnsi="Times New Roman" w:cs="Times New Roman"/>
          <w:sz w:val="24"/>
          <w:szCs w:val="24"/>
        </w:rPr>
        <w:t>4</w:t>
      </w:r>
      <w:r w:rsidR="008A0376" w:rsidRPr="002959A9">
        <w:rPr>
          <w:rFonts w:ascii="Times New Roman" w:hAnsi="Times New Roman" w:cs="Times New Roman"/>
          <w:sz w:val="24"/>
          <w:szCs w:val="24"/>
        </w:rPr>
        <w:t xml:space="preserve">). Nakon stomatološkog pregleda potrebno se konzultirati s transplantacijskim timom. Potpuno saniranje usne šupljine nije uvijek moguće, ali mu treba težiti. Glavni razlozi koji mogu promijeniti plan dentalnog zbrinjavanja je hitnost transplantacije i opće zdravstveno stanje pacijenta (1, </w:t>
      </w:r>
      <w:r w:rsidR="00484BED" w:rsidRPr="002959A9">
        <w:rPr>
          <w:rFonts w:ascii="Times New Roman" w:hAnsi="Times New Roman" w:cs="Times New Roman"/>
          <w:sz w:val="24"/>
          <w:szCs w:val="24"/>
        </w:rPr>
        <w:t>7</w:t>
      </w:r>
      <w:r w:rsidR="008A0376" w:rsidRPr="002959A9">
        <w:rPr>
          <w:rFonts w:ascii="Times New Roman" w:hAnsi="Times New Roman" w:cs="Times New Roman"/>
          <w:sz w:val="24"/>
          <w:szCs w:val="24"/>
        </w:rPr>
        <w:t>). Postoje izvještaji iz transplantacijskih centara u kojima se opisuju brojne komplikacije oralnih infekcija koje dovode do odgađanja same transplantacije, kao i pojavi posttransplantacijske sepse (4</w:t>
      </w:r>
      <w:r w:rsidR="00036556" w:rsidRPr="002959A9">
        <w:rPr>
          <w:rFonts w:ascii="Times New Roman" w:hAnsi="Times New Roman" w:cs="Times New Roman"/>
          <w:sz w:val="24"/>
          <w:szCs w:val="24"/>
        </w:rPr>
        <w:t>, 10</w:t>
      </w:r>
      <w:r w:rsidR="008A0376" w:rsidRPr="002959A9">
        <w:rPr>
          <w:rFonts w:ascii="Times New Roman" w:hAnsi="Times New Roman" w:cs="Times New Roman"/>
          <w:sz w:val="24"/>
          <w:szCs w:val="24"/>
        </w:rPr>
        <w:t xml:space="preserve">). Radne skupine </w:t>
      </w:r>
      <w:r w:rsidR="001C2AF3" w:rsidRPr="002959A9">
        <w:rPr>
          <w:rFonts w:ascii="Times New Roman" w:hAnsi="Times New Roman" w:cs="Times New Roman"/>
          <w:i/>
          <w:sz w:val="24"/>
          <w:szCs w:val="24"/>
        </w:rPr>
        <w:t>Multinacionalne organizacije za karcinome</w:t>
      </w:r>
      <w:r w:rsidR="008A0376" w:rsidRPr="002959A9">
        <w:rPr>
          <w:rFonts w:ascii="Times New Roman" w:hAnsi="Times New Roman" w:cs="Times New Roman"/>
          <w:sz w:val="24"/>
          <w:szCs w:val="24"/>
        </w:rPr>
        <w:t xml:space="preserve"> i </w:t>
      </w:r>
      <w:r w:rsidR="001C2AF3" w:rsidRPr="002959A9">
        <w:rPr>
          <w:rFonts w:ascii="Times New Roman" w:hAnsi="Times New Roman" w:cs="Times New Roman"/>
          <w:i/>
          <w:sz w:val="24"/>
          <w:szCs w:val="24"/>
        </w:rPr>
        <w:t>Europske organizacije za transplantaciju matičnih stanica</w:t>
      </w:r>
      <w:r w:rsidR="003F0ACD" w:rsidRPr="002959A9">
        <w:rPr>
          <w:rFonts w:ascii="Times New Roman" w:hAnsi="Times New Roman" w:cs="Times New Roman"/>
          <w:sz w:val="24"/>
          <w:szCs w:val="24"/>
        </w:rPr>
        <w:t xml:space="preserve">, </w:t>
      </w:r>
      <w:r w:rsidR="008A0376" w:rsidRPr="002959A9">
        <w:rPr>
          <w:rFonts w:ascii="Times New Roman" w:hAnsi="Times New Roman" w:cs="Times New Roman"/>
          <w:sz w:val="24"/>
          <w:szCs w:val="24"/>
        </w:rPr>
        <w:t>preporučuju da svi kandidati za presađivanje matičnih stanica što ranije prođu sveobuhvatnu dentalnu i oralnu procjenu kojom će se prepoznati i eliminirati potencijalni</w:t>
      </w:r>
      <w:r w:rsidR="003F0ACD" w:rsidRPr="002959A9">
        <w:rPr>
          <w:rFonts w:ascii="Times New Roman" w:hAnsi="Times New Roman" w:cs="Times New Roman"/>
          <w:sz w:val="24"/>
          <w:szCs w:val="24"/>
        </w:rPr>
        <w:t xml:space="preserve"> fokusi u usnoj šupljini </w:t>
      </w:r>
      <w:r w:rsidR="008A0376" w:rsidRPr="002959A9">
        <w:rPr>
          <w:rFonts w:ascii="Times New Roman" w:hAnsi="Times New Roman" w:cs="Times New Roman"/>
          <w:sz w:val="24"/>
          <w:szCs w:val="24"/>
        </w:rPr>
        <w:t xml:space="preserve">(1). Prije transplantacije potrebno je </w:t>
      </w:r>
      <w:r w:rsidR="00957AA0" w:rsidRPr="002959A9">
        <w:rPr>
          <w:rFonts w:ascii="Times New Roman" w:hAnsi="Times New Roman" w:cs="Times New Roman"/>
          <w:sz w:val="24"/>
          <w:szCs w:val="24"/>
        </w:rPr>
        <w:t>identificirati</w:t>
      </w:r>
      <w:r w:rsidR="008A0376" w:rsidRPr="002959A9">
        <w:rPr>
          <w:rFonts w:ascii="Times New Roman" w:hAnsi="Times New Roman" w:cs="Times New Roman"/>
          <w:sz w:val="24"/>
          <w:szCs w:val="24"/>
        </w:rPr>
        <w:t xml:space="preserve"> i eliminirati sve aktivne procese, potencijalne izvore infekcije te ukloniti lokalne čimbenike koji mogu izazvati traumu, bol i krvarenje (4, </w:t>
      </w:r>
      <w:r w:rsidR="00484BED" w:rsidRPr="002959A9">
        <w:rPr>
          <w:rFonts w:ascii="Times New Roman" w:hAnsi="Times New Roman" w:cs="Times New Roman"/>
          <w:sz w:val="24"/>
          <w:szCs w:val="24"/>
        </w:rPr>
        <w:t>7</w:t>
      </w:r>
      <w:r w:rsidR="008A0376" w:rsidRPr="002959A9">
        <w:rPr>
          <w:rFonts w:ascii="Times New Roman" w:hAnsi="Times New Roman" w:cs="Times New Roman"/>
          <w:sz w:val="24"/>
          <w:szCs w:val="24"/>
        </w:rPr>
        <w:t xml:space="preserve">). Sve simptomatske lezije (aktivni karijes, pulpna bolest, </w:t>
      </w:r>
      <w:r w:rsidR="00957AA0" w:rsidRPr="002959A9">
        <w:rPr>
          <w:rFonts w:ascii="Times New Roman" w:hAnsi="Times New Roman" w:cs="Times New Roman"/>
          <w:sz w:val="24"/>
          <w:szCs w:val="24"/>
        </w:rPr>
        <w:t>periapikalni</w:t>
      </w:r>
      <w:r w:rsidR="008A0376" w:rsidRPr="002959A9">
        <w:rPr>
          <w:rFonts w:ascii="Times New Roman" w:hAnsi="Times New Roman" w:cs="Times New Roman"/>
          <w:sz w:val="24"/>
          <w:szCs w:val="24"/>
        </w:rPr>
        <w:t xml:space="preserve"> proces, mobilni zubi koji nemaju dobru prognozu</w:t>
      </w:r>
      <w:r w:rsidR="00B47086" w:rsidRPr="002959A9">
        <w:rPr>
          <w:rFonts w:ascii="Times New Roman" w:hAnsi="Times New Roman" w:cs="Times New Roman"/>
          <w:sz w:val="24"/>
          <w:szCs w:val="24"/>
        </w:rPr>
        <w:t>, patološke lezije</w:t>
      </w:r>
      <w:r w:rsidR="008A0376" w:rsidRPr="002959A9">
        <w:rPr>
          <w:rFonts w:ascii="Times New Roman" w:hAnsi="Times New Roman" w:cs="Times New Roman"/>
          <w:sz w:val="24"/>
          <w:szCs w:val="24"/>
        </w:rPr>
        <w:t>) trebaju biti sanirane prije transplantacije (1, 4). Također, treći molari s anamnezom rekurentnog perikoronitisa trebaju biti razmotreni za ekstrakciju (4</w:t>
      </w:r>
      <w:r w:rsidR="001D0AD5" w:rsidRPr="002959A9">
        <w:rPr>
          <w:rFonts w:ascii="Times New Roman" w:hAnsi="Times New Roman" w:cs="Times New Roman"/>
          <w:sz w:val="24"/>
          <w:szCs w:val="24"/>
        </w:rPr>
        <w:t xml:space="preserve">). </w:t>
      </w:r>
      <w:r w:rsidR="008A0376" w:rsidRPr="002959A9">
        <w:rPr>
          <w:rFonts w:ascii="Times New Roman" w:hAnsi="Times New Roman" w:cs="Times New Roman"/>
          <w:sz w:val="24"/>
          <w:szCs w:val="24"/>
        </w:rPr>
        <w:t xml:space="preserve">Ukoliko u dentalnoj anamnezi postoji parodontna bolest, pacijent treba proći parodontološku </w:t>
      </w:r>
      <w:r w:rsidR="008A0376" w:rsidRPr="002959A9">
        <w:rPr>
          <w:rFonts w:ascii="Times New Roman" w:hAnsi="Times New Roman" w:cs="Times New Roman"/>
          <w:sz w:val="24"/>
          <w:szCs w:val="24"/>
        </w:rPr>
        <w:lastRenderedPageBreak/>
        <w:t>obradu (struganje i poliranje kor</w:t>
      </w:r>
      <w:r w:rsidR="00B47086" w:rsidRPr="002959A9">
        <w:rPr>
          <w:rFonts w:ascii="Times New Roman" w:hAnsi="Times New Roman" w:cs="Times New Roman"/>
          <w:sz w:val="24"/>
          <w:szCs w:val="24"/>
        </w:rPr>
        <w:t>i</w:t>
      </w:r>
      <w:r w:rsidR="008A0376" w:rsidRPr="002959A9">
        <w:rPr>
          <w:rFonts w:ascii="Times New Roman" w:hAnsi="Times New Roman" w:cs="Times New Roman"/>
          <w:sz w:val="24"/>
          <w:szCs w:val="24"/>
        </w:rPr>
        <w:t>jenova)</w:t>
      </w:r>
      <w:r w:rsidR="001D0AD5" w:rsidRPr="002959A9">
        <w:rPr>
          <w:rFonts w:ascii="Times New Roman" w:hAnsi="Times New Roman" w:cs="Times New Roman"/>
          <w:sz w:val="24"/>
          <w:szCs w:val="24"/>
        </w:rPr>
        <w:t xml:space="preserve"> </w:t>
      </w:r>
      <w:r w:rsidR="008A0376" w:rsidRPr="002959A9">
        <w:rPr>
          <w:rFonts w:ascii="Times New Roman" w:hAnsi="Times New Roman" w:cs="Times New Roman"/>
          <w:sz w:val="24"/>
          <w:szCs w:val="24"/>
        </w:rPr>
        <w:t>(4). Potrebno je ukloniti sve moguće lokalne čimbenike (nestabilna proteza, ortodontski aparat) koji imaju iritabil</w:t>
      </w:r>
      <w:r w:rsidR="001D0AD5" w:rsidRPr="002959A9">
        <w:rPr>
          <w:rFonts w:ascii="Times New Roman" w:hAnsi="Times New Roman" w:cs="Times New Roman"/>
          <w:sz w:val="24"/>
          <w:szCs w:val="24"/>
        </w:rPr>
        <w:t>an</w:t>
      </w:r>
      <w:r w:rsidR="008A0376" w:rsidRPr="002959A9">
        <w:rPr>
          <w:rFonts w:ascii="Times New Roman" w:hAnsi="Times New Roman" w:cs="Times New Roman"/>
          <w:sz w:val="24"/>
          <w:szCs w:val="24"/>
        </w:rPr>
        <w:t xml:space="preserve"> potencijal</w:t>
      </w:r>
      <w:r w:rsidR="007540E9" w:rsidRPr="002959A9">
        <w:rPr>
          <w:rFonts w:ascii="Times New Roman" w:hAnsi="Times New Roman" w:cs="Times New Roman"/>
          <w:sz w:val="24"/>
          <w:szCs w:val="24"/>
        </w:rPr>
        <w:t xml:space="preserve"> (Tablica 1)</w:t>
      </w:r>
      <w:r w:rsidR="008A0376" w:rsidRPr="002959A9">
        <w:rPr>
          <w:rFonts w:ascii="Times New Roman" w:hAnsi="Times New Roman" w:cs="Times New Roman"/>
          <w:sz w:val="24"/>
          <w:szCs w:val="24"/>
        </w:rPr>
        <w:t xml:space="preserve"> (</w:t>
      </w:r>
      <w:r w:rsidR="007540E9" w:rsidRPr="002959A9">
        <w:rPr>
          <w:rFonts w:ascii="Times New Roman" w:hAnsi="Times New Roman" w:cs="Times New Roman"/>
          <w:sz w:val="24"/>
          <w:szCs w:val="24"/>
        </w:rPr>
        <w:t xml:space="preserve">1, </w:t>
      </w:r>
      <w:r w:rsidR="008A0376" w:rsidRPr="002959A9">
        <w:rPr>
          <w:rFonts w:ascii="Times New Roman" w:hAnsi="Times New Roman" w:cs="Times New Roman"/>
          <w:sz w:val="24"/>
          <w:szCs w:val="24"/>
        </w:rPr>
        <w:t xml:space="preserve">4, </w:t>
      </w:r>
      <w:r w:rsidR="00484BED" w:rsidRPr="002959A9">
        <w:rPr>
          <w:rFonts w:ascii="Times New Roman" w:hAnsi="Times New Roman" w:cs="Times New Roman"/>
          <w:sz w:val="24"/>
          <w:szCs w:val="24"/>
        </w:rPr>
        <w:t>7</w:t>
      </w:r>
      <w:r w:rsidR="008A0376" w:rsidRPr="002959A9">
        <w:rPr>
          <w:rFonts w:ascii="Times New Roman" w:hAnsi="Times New Roman" w:cs="Times New Roman"/>
          <w:sz w:val="24"/>
          <w:szCs w:val="24"/>
        </w:rPr>
        <w:t xml:space="preserve">, </w:t>
      </w:r>
      <w:r w:rsidR="00036556" w:rsidRPr="002959A9">
        <w:rPr>
          <w:rFonts w:ascii="Times New Roman" w:hAnsi="Times New Roman" w:cs="Times New Roman"/>
          <w:sz w:val="24"/>
          <w:szCs w:val="24"/>
        </w:rPr>
        <w:t xml:space="preserve">11, </w:t>
      </w:r>
      <w:r w:rsidR="008A0376"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84BED"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A0376" w:rsidRPr="002959A9">
        <w:rPr>
          <w:rFonts w:ascii="Times New Roman" w:hAnsi="Times New Roman" w:cs="Times New Roman"/>
          <w:sz w:val="24"/>
          <w:szCs w:val="24"/>
        </w:rPr>
        <w:t>)</w:t>
      </w:r>
      <w:r w:rsidR="007540E9" w:rsidRPr="002959A9">
        <w:rPr>
          <w:rFonts w:ascii="Times New Roman" w:hAnsi="Times New Roman" w:cs="Times New Roman"/>
          <w:sz w:val="24"/>
          <w:szCs w:val="24"/>
        </w:rPr>
        <w:t>.</w:t>
      </w:r>
      <w:r w:rsidR="008A0376" w:rsidRPr="002959A9">
        <w:rPr>
          <w:rFonts w:ascii="Times New Roman" w:hAnsi="Times New Roman" w:cs="Times New Roman"/>
          <w:sz w:val="24"/>
          <w:szCs w:val="24"/>
        </w:rPr>
        <w:t xml:space="preserve"> </w:t>
      </w:r>
      <w:r w:rsidR="001D0AD5" w:rsidRPr="002959A9">
        <w:rPr>
          <w:rFonts w:ascii="Times New Roman" w:hAnsi="Times New Roman" w:cs="Times New Roman"/>
          <w:sz w:val="24"/>
          <w:szCs w:val="24"/>
        </w:rPr>
        <w:t xml:space="preserve">Zajedno s transplantacijskim timom </w:t>
      </w:r>
      <w:r w:rsidR="0004475E" w:rsidRPr="002959A9">
        <w:rPr>
          <w:rFonts w:ascii="Times New Roman" w:hAnsi="Times New Roman" w:cs="Times New Roman"/>
          <w:sz w:val="24"/>
          <w:szCs w:val="24"/>
        </w:rPr>
        <w:t>donos</w:t>
      </w:r>
      <w:r w:rsidR="00DE754F" w:rsidRPr="002959A9">
        <w:rPr>
          <w:rFonts w:ascii="Times New Roman" w:hAnsi="Times New Roman" w:cs="Times New Roman"/>
          <w:sz w:val="24"/>
          <w:szCs w:val="24"/>
        </w:rPr>
        <w:t>i</w:t>
      </w:r>
      <w:r w:rsidR="0004475E" w:rsidRPr="002959A9">
        <w:rPr>
          <w:rFonts w:ascii="Times New Roman" w:hAnsi="Times New Roman" w:cs="Times New Roman"/>
          <w:sz w:val="24"/>
          <w:szCs w:val="24"/>
        </w:rPr>
        <w:t xml:space="preserve"> se </w:t>
      </w:r>
      <w:r w:rsidR="001D0AD5" w:rsidRPr="002959A9">
        <w:rPr>
          <w:rFonts w:ascii="Times New Roman" w:hAnsi="Times New Roman" w:cs="Times New Roman"/>
          <w:sz w:val="24"/>
          <w:szCs w:val="24"/>
        </w:rPr>
        <w:t>odluk</w:t>
      </w:r>
      <w:r w:rsidR="00DE754F" w:rsidRPr="002959A9">
        <w:rPr>
          <w:rFonts w:ascii="Times New Roman" w:hAnsi="Times New Roman" w:cs="Times New Roman"/>
          <w:sz w:val="24"/>
          <w:szCs w:val="24"/>
        </w:rPr>
        <w:t>a</w:t>
      </w:r>
      <w:r w:rsidR="001D0AD5" w:rsidRPr="002959A9">
        <w:rPr>
          <w:rFonts w:ascii="Times New Roman" w:hAnsi="Times New Roman" w:cs="Times New Roman"/>
          <w:sz w:val="24"/>
          <w:szCs w:val="24"/>
        </w:rPr>
        <w:t xml:space="preserve"> o krajnjem datumu posljednjeg stomatološkog tretmana (1, 2). </w:t>
      </w:r>
      <w:r w:rsidR="008A0376" w:rsidRPr="002959A9">
        <w:rPr>
          <w:rFonts w:ascii="Times New Roman" w:hAnsi="Times New Roman" w:cs="Times New Roman"/>
          <w:sz w:val="24"/>
          <w:szCs w:val="24"/>
        </w:rPr>
        <w:t>Postoje brojne nesuglasice oko invazivnih zahvata koji zahtijevaju period cijeljenja. Neki autori predlažu da se takvi zahvati odgode i naprave nakon transplantacije kada pacijent bude stabilan (</w:t>
      </w:r>
      <w:r w:rsidR="00484BED" w:rsidRPr="002959A9">
        <w:rPr>
          <w:rFonts w:ascii="Times New Roman" w:hAnsi="Times New Roman" w:cs="Times New Roman"/>
          <w:sz w:val="24"/>
          <w:szCs w:val="24"/>
        </w:rPr>
        <w:t>7</w:t>
      </w:r>
      <w:r w:rsidR="008A0376" w:rsidRPr="002959A9">
        <w:rPr>
          <w:rFonts w:ascii="Times New Roman" w:hAnsi="Times New Roman" w:cs="Times New Roman"/>
          <w:sz w:val="24"/>
          <w:szCs w:val="24"/>
        </w:rPr>
        <w:t>).</w:t>
      </w:r>
      <w:r w:rsidR="001D0AD5" w:rsidRPr="002959A9">
        <w:rPr>
          <w:rFonts w:ascii="Times New Roman" w:hAnsi="Times New Roman" w:cs="Times New Roman"/>
          <w:sz w:val="24"/>
          <w:szCs w:val="24"/>
        </w:rPr>
        <w:t xml:space="preserve"> Danas je ustaljeno mišljenje da svi </w:t>
      </w:r>
      <w:r w:rsidR="008A0376" w:rsidRPr="002959A9">
        <w:rPr>
          <w:rFonts w:ascii="Times New Roman" w:hAnsi="Times New Roman" w:cs="Times New Roman"/>
          <w:sz w:val="24"/>
          <w:szCs w:val="24"/>
        </w:rPr>
        <w:t xml:space="preserve">stomatološki </w:t>
      </w:r>
      <w:r w:rsidR="001D0AD5" w:rsidRPr="002959A9">
        <w:rPr>
          <w:rFonts w:ascii="Times New Roman" w:hAnsi="Times New Roman" w:cs="Times New Roman"/>
          <w:sz w:val="24"/>
          <w:szCs w:val="24"/>
        </w:rPr>
        <w:t>postupci</w:t>
      </w:r>
      <w:r w:rsidR="008A0376" w:rsidRPr="002959A9">
        <w:rPr>
          <w:rFonts w:ascii="Times New Roman" w:hAnsi="Times New Roman" w:cs="Times New Roman"/>
          <w:sz w:val="24"/>
          <w:szCs w:val="24"/>
        </w:rPr>
        <w:t xml:space="preserve"> trebaju biti završeni najmanje 2 tj</w:t>
      </w:r>
      <w:r w:rsidR="00E53313" w:rsidRPr="002959A9">
        <w:rPr>
          <w:rFonts w:ascii="Times New Roman" w:hAnsi="Times New Roman" w:cs="Times New Roman"/>
          <w:sz w:val="24"/>
          <w:szCs w:val="24"/>
        </w:rPr>
        <w:t>edna</w:t>
      </w:r>
      <w:r w:rsidR="008A0376" w:rsidRPr="002959A9">
        <w:rPr>
          <w:rFonts w:ascii="Times New Roman" w:hAnsi="Times New Roman" w:cs="Times New Roman"/>
          <w:sz w:val="24"/>
          <w:szCs w:val="24"/>
        </w:rPr>
        <w:t xml:space="preserve"> prije transplantacije</w:t>
      </w:r>
      <w:r w:rsidR="003229F6" w:rsidRPr="002959A9">
        <w:rPr>
          <w:rFonts w:ascii="Times New Roman" w:hAnsi="Times New Roman" w:cs="Times New Roman"/>
          <w:sz w:val="24"/>
          <w:szCs w:val="24"/>
        </w:rPr>
        <w:t xml:space="preserve">, s naglaskom na invazivne, </w:t>
      </w:r>
      <w:r w:rsidR="001D0AD5" w:rsidRPr="002959A9">
        <w:rPr>
          <w:rFonts w:ascii="Times New Roman" w:hAnsi="Times New Roman" w:cs="Times New Roman"/>
          <w:sz w:val="24"/>
          <w:szCs w:val="24"/>
        </w:rPr>
        <w:t>koji zahtijevaju period cijeljenja</w:t>
      </w:r>
      <w:r w:rsidR="00C00C3C" w:rsidRPr="002959A9">
        <w:rPr>
          <w:rFonts w:ascii="Times New Roman" w:hAnsi="Times New Roman" w:cs="Times New Roman"/>
          <w:sz w:val="24"/>
          <w:szCs w:val="24"/>
        </w:rPr>
        <w:t xml:space="preserve"> (1, 4).</w:t>
      </w:r>
    </w:p>
    <w:p w14:paraId="2AADCAEC" w14:textId="77777777" w:rsidR="002625B5" w:rsidRPr="002959A9" w:rsidRDefault="00070491" w:rsidP="008A0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A9">
        <w:rPr>
          <w:rFonts w:ascii="Times New Roman" w:hAnsi="Times New Roman" w:cs="Times New Roman"/>
          <w:sz w:val="24"/>
          <w:szCs w:val="24"/>
        </w:rPr>
        <w:t>U predtransplantacijskom razdoblju, svi pacijenti bi trebali proći kroz profesionalnu edukaciju o održavanju zdravlja usne šupljine (1, 4). Cilj edukacije u ovom razdoblju je da pacijent neposredno nakon same transplantacije bude sposoban adekvatno održavati zdravlje usne šupljine. Svi pacijenti trebaju dobiti informacije o pravilnom četkanju zuba (mekana četkica, interdentalna higijena) te korištenju dodatnih metoda (topikalna fluoridacija, njega usana) za održavanje cjelokupnog oralnog zdravlja (7</w:t>
      </w:r>
      <w:r w:rsidR="002625B5" w:rsidRPr="002959A9">
        <w:rPr>
          <w:rFonts w:ascii="Times New Roman" w:hAnsi="Times New Roman" w:cs="Times New Roman"/>
          <w:sz w:val="24"/>
          <w:szCs w:val="24"/>
        </w:rPr>
        <w:t xml:space="preserve">, </w:t>
      </w:r>
      <w:r w:rsidR="002978D7" w:rsidRPr="002959A9">
        <w:rPr>
          <w:rFonts w:ascii="Times New Roman" w:hAnsi="Times New Roman" w:cs="Times New Roman"/>
          <w:sz w:val="24"/>
          <w:szCs w:val="24"/>
        </w:rPr>
        <w:t>12-</w:t>
      </w:r>
      <w:r w:rsidR="00E53313" w:rsidRPr="002959A9">
        <w:rPr>
          <w:rFonts w:ascii="Times New Roman" w:hAnsi="Times New Roman" w:cs="Times New Roman"/>
          <w:sz w:val="24"/>
          <w:szCs w:val="24"/>
        </w:rPr>
        <w:t>15</w:t>
      </w:r>
      <w:r w:rsidRPr="002959A9">
        <w:rPr>
          <w:rFonts w:ascii="Times New Roman" w:hAnsi="Times New Roman" w:cs="Times New Roman"/>
          <w:sz w:val="24"/>
          <w:szCs w:val="24"/>
        </w:rPr>
        <w:t>). Medicinski centar Sveučilišta u Goettingenu u Njemačkoj napravio je studiju u kojoj su uspoređivali oralno zdravlje kod pacijenata prije i poslije transplantacije jetre. Dokazano je da pacijenti prije i poslije transplantacije imaju loše oralno zdravlje</w:t>
      </w:r>
      <w:r w:rsidR="00E53313" w:rsidRPr="002959A9">
        <w:rPr>
          <w:rFonts w:ascii="Times New Roman" w:hAnsi="Times New Roman" w:cs="Times New Roman"/>
          <w:sz w:val="24"/>
          <w:szCs w:val="24"/>
        </w:rPr>
        <w:t>,</w:t>
      </w:r>
      <w:r w:rsidRPr="002959A9">
        <w:rPr>
          <w:rFonts w:ascii="Times New Roman" w:hAnsi="Times New Roman" w:cs="Times New Roman"/>
          <w:sz w:val="24"/>
          <w:szCs w:val="24"/>
        </w:rPr>
        <w:t xml:space="preserve"> što kompromitira cijeli transplantacijski postupak</w:t>
      </w:r>
      <w:r w:rsidR="00A65EEA" w:rsidRPr="002959A9">
        <w:rPr>
          <w:rFonts w:ascii="Times New Roman" w:hAnsi="Times New Roman" w:cs="Times New Roman"/>
          <w:sz w:val="24"/>
          <w:szCs w:val="24"/>
        </w:rPr>
        <w:t xml:space="preserve"> (13)</w:t>
      </w:r>
      <w:r w:rsidRPr="002959A9">
        <w:rPr>
          <w:rFonts w:ascii="Times New Roman" w:hAnsi="Times New Roman" w:cs="Times New Roman"/>
          <w:sz w:val="24"/>
          <w:szCs w:val="24"/>
        </w:rPr>
        <w:t>. Većina pacijenata kod kojih je došlo do komplikacija (infekcije, odbacivanje organa) je u podlozi imala lošu oralnu higijenu (1</w:t>
      </w:r>
      <w:r w:rsidR="00A65EEA" w:rsidRPr="002959A9">
        <w:rPr>
          <w:rFonts w:ascii="Times New Roman" w:hAnsi="Times New Roman" w:cs="Times New Roman"/>
          <w:sz w:val="24"/>
          <w:szCs w:val="24"/>
        </w:rPr>
        <w:t xml:space="preserve">0, </w:t>
      </w:r>
      <w:r w:rsidR="002978D7" w:rsidRPr="002959A9">
        <w:rPr>
          <w:rFonts w:ascii="Times New Roman" w:hAnsi="Times New Roman" w:cs="Times New Roman"/>
          <w:sz w:val="24"/>
          <w:szCs w:val="24"/>
        </w:rPr>
        <w:t>13-</w:t>
      </w:r>
      <w:r w:rsidR="00E53313" w:rsidRPr="002959A9">
        <w:rPr>
          <w:rFonts w:ascii="Times New Roman" w:hAnsi="Times New Roman" w:cs="Times New Roman"/>
          <w:sz w:val="24"/>
          <w:szCs w:val="24"/>
        </w:rPr>
        <w:t>15</w:t>
      </w:r>
      <w:r w:rsidRPr="002959A9">
        <w:rPr>
          <w:rFonts w:ascii="Times New Roman" w:hAnsi="Times New Roman" w:cs="Times New Roman"/>
          <w:sz w:val="24"/>
          <w:szCs w:val="24"/>
        </w:rPr>
        <w:t xml:space="preserve">). Smatra se da čak 80% pacijenata neposredno nakon transplantacije ima simptome u usnoj šupljini (7). </w:t>
      </w:r>
    </w:p>
    <w:p w14:paraId="684E95E6" w14:textId="77777777" w:rsidR="00FE6414" w:rsidRPr="002959A9" w:rsidRDefault="00FE6414" w:rsidP="008A03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D9946A" w14:textId="77777777" w:rsidR="007540E9" w:rsidRPr="002959A9" w:rsidRDefault="007540E9" w:rsidP="002625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59A9">
        <w:rPr>
          <w:rFonts w:ascii="Times New Roman" w:hAnsi="Times New Roman" w:cs="Times New Roman"/>
        </w:rPr>
        <w:t>Tablica 1. Pretransplantacijsko dentalno liječenje. Preuzeto i prerađeno iz (1).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2"/>
        <w:gridCol w:w="3021"/>
        <w:gridCol w:w="3139"/>
      </w:tblGrid>
      <w:tr w:rsidR="007540E9" w:rsidRPr="002959A9" w14:paraId="003F47AF" w14:textId="77777777" w:rsidTr="008E1998">
        <w:tc>
          <w:tcPr>
            <w:tcW w:w="2912" w:type="dxa"/>
            <w:shd w:val="clear" w:color="auto" w:fill="BDD6EE" w:themeFill="accent1" w:themeFillTint="66"/>
            <w:vAlign w:val="center"/>
          </w:tcPr>
          <w:p w14:paraId="1B1F63A7" w14:textId="77777777" w:rsidR="007540E9" w:rsidRPr="002959A9" w:rsidRDefault="007540E9" w:rsidP="00262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9A9">
              <w:rPr>
                <w:rFonts w:ascii="Times New Roman" w:hAnsi="Times New Roman" w:cs="Times New Roman"/>
                <w:b/>
              </w:rPr>
              <w:t>POTENCIJALNI PROBLEM</w:t>
            </w:r>
          </w:p>
        </w:tc>
        <w:tc>
          <w:tcPr>
            <w:tcW w:w="3021" w:type="dxa"/>
            <w:shd w:val="clear" w:color="auto" w:fill="BDD6EE" w:themeFill="accent1" w:themeFillTint="66"/>
            <w:vAlign w:val="center"/>
          </w:tcPr>
          <w:p w14:paraId="1E3EB98A" w14:textId="77777777" w:rsidR="007540E9" w:rsidRPr="002959A9" w:rsidRDefault="007540E9" w:rsidP="00262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9A9">
              <w:rPr>
                <w:rFonts w:ascii="Times New Roman" w:hAnsi="Times New Roman" w:cs="Times New Roman"/>
                <w:b/>
              </w:rPr>
              <w:t>DIJAGNOSTIKA</w:t>
            </w:r>
          </w:p>
        </w:tc>
        <w:tc>
          <w:tcPr>
            <w:tcW w:w="3139" w:type="dxa"/>
            <w:shd w:val="clear" w:color="auto" w:fill="BDD6EE" w:themeFill="accent1" w:themeFillTint="66"/>
            <w:vAlign w:val="center"/>
          </w:tcPr>
          <w:p w14:paraId="67609BA0" w14:textId="77777777" w:rsidR="007540E9" w:rsidRPr="002959A9" w:rsidRDefault="007540E9" w:rsidP="00262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9A9">
              <w:rPr>
                <w:rFonts w:ascii="Times New Roman" w:hAnsi="Times New Roman" w:cs="Times New Roman"/>
                <w:b/>
              </w:rPr>
              <w:t>LIJEČENJE</w:t>
            </w:r>
          </w:p>
        </w:tc>
      </w:tr>
      <w:tr w:rsidR="007540E9" w:rsidRPr="002959A9" w14:paraId="1D595055" w14:textId="77777777" w:rsidTr="008E1998">
        <w:tc>
          <w:tcPr>
            <w:tcW w:w="2912" w:type="dxa"/>
            <w:shd w:val="clear" w:color="auto" w:fill="DEEAF6" w:themeFill="accent1" w:themeFillTint="33"/>
            <w:vAlign w:val="center"/>
          </w:tcPr>
          <w:p w14:paraId="16ADB009" w14:textId="77777777" w:rsidR="007540E9" w:rsidRPr="002959A9" w:rsidRDefault="007540E9" w:rsidP="00683427">
            <w:pPr>
              <w:rPr>
                <w:rFonts w:ascii="Times New Roman" w:hAnsi="Times New Roman" w:cs="Times New Roman"/>
                <w:b/>
              </w:rPr>
            </w:pPr>
            <w:r w:rsidRPr="002959A9">
              <w:rPr>
                <w:rFonts w:ascii="Times New Roman" w:hAnsi="Times New Roman" w:cs="Times New Roman"/>
                <w:b/>
              </w:rPr>
              <w:t>MEKA TKIVA (infekcija)</w:t>
            </w:r>
          </w:p>
        </w:tc>
        <w:tc>
          <w:tcPr>
            <w:tcW w:w="3021" w:type="dxa"/>
            <w:shd w:val="clear" w:color="auto" w:fill="DEEAF6" w:themeFill="accent1" w:themeFillTint="33"/>
            <w:vAlign w:val="center"/>
          </w:tcPr>
          <w:p w14:paraId="20470A3C" w14:textId="77777777" w:rsidR="007540E9" w:rsidRPr="002959A9" w:rsidRDefault="003229F6" w:rsidP="00683427">
            <w:pPr>
              <w:rPr>
                <w:rFonts w:ascii="Times New Roman" w:hAnsi="Times New Roman" w:cs="Times New Roman"/>
              </w:rPr>
            </w:pPr>
            <w:r w:rsidRPr="002959A9">
              <w:rPr>
                <w:rFonts w:ascii="Times New Roman" w:hAnsi="Times New Roman" w:cs="Times New Roman"/>
              </w:rPr>
              <w:t>b</w:t>
            </w:r>
            <w:r w:rsidR="007540E9" w:rsidRPr="002959A9">
              <w:rPr>
                <w:rFonts w:ascii="Times New Roman" w:hAnsi="Times New Roman" w:cs="Times New Roman"/>
              </w:rPr>
              <w:t xml:space="preserve">ris (mikrobiološka kultura) </w:t>
            </w:r>
          </w:p>
          <w:p w14:paraId="60607425" w14:textId="77777777" w:rsidR="007540E9" w:rsidRPr="002959A9" w:rsidRDefault="003229F6" w:rsidP="00683427">
            <w:pPr>
              <w:rPr>
                <w:rFonts w:ascii="Times New Roman" w:hAnsi="Times New Roman" w:cs="Times New Roman"/>
              </w:rPr>
            </w:pPr>
            <w:r w:rsidRPr="002959A9">
              <w:rPr>
                <w:rFonts w:ascii="Times New Roman" w:hAnsi="Times New Roman" w:cs="Times New Roman"/>
              </w:rPr>
              <w:t>b</w:t>
            </w:r>
            <w:r w:rsidR="007540E9" w:rsidRPr="002959A9">
              <w:rPr>
                <w:rFonts w:ascii="Times New Roman" w:hAnsi="Times New Roman" w:cs="Times New Roman"/>
              </w:rPr>
              <w:t>iopsija</w:t>
            </w:r>
          </w:p>
        </w:tc>
        <w:tc>
          <w:tcPr>
            <w:tcW w:w="3139" w:type="dxa"/>
            <w:shd w:val="clear" w:color="auto" w:fill="DEEAF6" w:themeFill="accent1" w:themeFillTint="33"/>
            <w:vAlign w:val="center"/>
          </w:tcPr>
          <w:p w14:paraId="6F54A560" w14:textId="77777777" w:rsidR="007540E9" w:rsidRPr="002959A9" w:rsidRDefault="003229F6" w:rsidP="00683427">
            <w:pPr>
              <w:rPr>
                <w:rFonts w:ascii="Times New Roman" w:hAnsi="Times New Roman" w:cs="Times New Roman"/>
              </w:rPr>
            </w:pPr>
            <w:r w:rsidRPr="002959A9">
              <w:rPr>
                <w:rFonts w:ascii="Times New Roman" w:hAnsi="Times New Roman" w:cs="Times New Roman"/>
              </w:rPr>
              <w:t>a</w:t>
            </w:r>
            <w:r w:rsidR="007540E9" w:rsidRPr="002959A9">
              <w:rPr>
                <w:rFonts w:ascii="Times New Roman" w:hAnsi="Times New Roman" w:cs="Times New Roman"/>
              </w:rPr>
              <w:t>ntibiotici; profilaktičke mjere</w:t>
            </w:r>
          </w:p>
        </w:tc>
      </w:tr>
      <w:tr w:rsidR="007540E9" w:rsidRPr="002959A9" w14:paraId="633B390B" w14:textId="77777777" w:rsidTr="008E1998">
        <w:trPr>
          <w:trHeight w:val="1353"/>
        </w:trPr>
        <w:tc>
          <w:tcPr>
            <w:tcW w:w="2912" w:type="dxa"/>
            <w:shd w:val="clear" w:color="auto" w:fill="DEEAF6" w:themeFill="accent1" w:themeFillTint="33"/>
            <w:vAlign w:val="center"/>
          </w:tcPr>
          <w:p w14:paraId="066B9B7C" w14:textId="77777777" w:rsidR="007540E9" w:rsidRPr="002959A9" w:rsidRDefault="007540E9" w:rsidP="00683427">
            <w:pPr>
              <w:rPr>
                <w:rFonts w:ascii="Times New Roman" w:hAnsi="Times New Roman" w:cs="Times New Roman"/>
                <w:b/>
              </w:rPr>
            </w:pPr>
            <w:r w:rsidRPr="002959A9">
              <w:rPr>
                <w:rFonts w:ascii="Times New Roman" w:hAnsi="Times New Roman" w:cs="Times New Roman"/>
                <w:b/>
              </w:rPr>
              <w:t>TVRDA ZUBNA TKIVA</w:t>
            </w:r>
          </w:p>
        </w:tc>
        <w:tc>
          <w:tcPr>
            <w:tcW w:w="3021" w:type="dxa"/>
            <w:shd w:val="clear" w:color="auto" w:fill="DEEAF6" w:themeFill="accent1" w:themeFillTint="33"/>
            <w:vAlign w:val="center"/>
          </w:tcPr>
          <w:p w14:paraId="693885EA" w14:textId="77777777" w:rsidR="007540E9" w:rsidRPr="002959A9" w:rsidRDefault="003229F6" w:rsidP="00683427">
            <w:pPr>
              <w:rPr>
                <w:rFonts w:ascii="Times New Roman" w:hAnsi="Times New Roman" w:cs="Times New Roman"/>
              </w:rPr>
            </w:pPr>
            <w:r w:rsidRPr="002959A9">
              <w:rPr>
                <w:rFonts w:ascii="Times New Roman" w:hAnsi="Times New Roman" w:cs="Times New Roman"/>
              </w:rPr>
              <w:t>k</w:t>
            </w:r>
            <w:r w:rsidR="007540E9" w:rsidRPr="002959A9">
              <w:rPr>
                <w:rFonts w:ascii="Times New Roman" w:hAnsi="Times New Roman" w:cs="Times New Roman"/>
              </w:rPr>
              <w:t xml:space="preserve">linički pregled, RTG (ortopantomogram) </w:t>
            </w:r>
          </w:p>
          <w:p w14:paraId="38763FBE" w14:textId="77777777" w:rsidR="003229F6" w:rsidRPr="002959A9" w:rsidRDefault="003229F6" w:rsidP="00683427">
            <w:pPr>
              <w:rPr>
                <w:rFonts w:ascii="Times New Roman" w:hAnsi="Times New Roman" w:cs="Times New Roman"/>
              </w:rPr>
            </w:pPr>
            <w:r w:rsidRPr="002959A9">
              <w:rPr>
                <w:rFonts w:ascii="Times New Roman" w:hAnsi="Times New Roman" w:cs="Times New Roman"/>
              </w:rPr>
              <w:t>t</w:t>
            </w:r>
            <w:r w:rsidR="007540E9" w:rsidRPr="002959A9">
              <w:rPr>
                <w:rFonts w:ascii="Times New Roman" w:hAnsi="Times New Roman" w:cs="Times New Roman"/>
              </w:rPr>
              <w:t xml:space="preserve">estovi vitaliteta </w:t>
            </w:r>
          </w:p>
          <w:p w14:paraId="2B783EC8" w14:textId="77777777" w:rsidR="007540E9" w:rsidRPr="002959A9" w:rsidRDefault="003229F6" w:rsidP="00683427">
            <w:pPr>
              <w:rPr>
                <w:rFonts w:ascii="Times New Roman" w:hAnsi="Times New Roman" w:cs="Times New Roman"/>
              </w:rPr>
            </w:pPr>
            <w:r w:rsidRPr="002959A9">
              <w:rPr>
                <w:rFonts w:ascii="Times New Roman" w:hAnsi="Times New Roman" w:cs="Times New Roman"/>
              </w:rPr>
              <w:t xml:space="preserve">testovi </w:t>
            </w:r>
            <w:r w:rsidR="007540E9" w:rsidRPr="002959A9">
              <w:rPr>
                <w:rFonts w:ascii="Times New Roman" w:hAnsi="Times New Roman" w:cs="Times New Roman"/>
              </w:rPr>
              <w:t>senzibiliteta</w:t>
            </w:r>
          </w:p>
        </w:tc>
        <w:tc>
          <w:tcPr>
            <w:tcW w:w="3139" w:type="dxa"/>
            <w:shd w:val="clear" w:color="auto" w:fill="DEEAF6" w:themeFill="accent1" w:themeFillTint="33"/>
            <w:vAlign w:val="center"/>
          </w:tcPr>
          <w:p w14:paraId="3F0D4191" w14:textId="77777777" w:rsidR="007540E9" w:rsidRPr="002959A9" w:rsidRDefault="005E5E4E" w:rsidP="00683427">
            <w:pPr>
              <w:rPr>
                <w:rFonts w:ascii="Times New Roman" w:hAnsi="Times New Roman" w:cs="Times New Roman"/>
              </w:rPr>
            </w:pPr>
            <w:r w:rsidRPr="002959A9">
              <w:rPr>
                <w:rFonts w:ascii="Times New Roman" w:hAnsi="Times New Roman" w:cs="Times New Roman"/>
              </w:rPr>
              <w:t>s</w:t>
            </w:r>
            <w:r w:rsidR="007540E9" w:rsidRPr="002959A9">
              <w:rPr>
                <w:rFonts w:ascii="Times New Roman" w:hAnsi="Times New Roman" w:cs="Times New Roman"/>
              </w:rPr>
              <w:t>aniranje karijesa endodontski tretman</w:t>
            </w:r>
          </w:p>
          <w:p w14:paraId="7A993961" w14:textId="77777777" w:rsidR="007540E9" w:rsidRPr="002959A9" w:rsidRDefault="003229F6" w:rsidP="00683427">
            <w:pPr>
              <w:rPr>
                <w:rFonts w:ascii="Times New Roman" w:hAnsi="Times New Roman" w:cs="Times New Roman"/>
              </w:rPr>
            </w:pPr>
            <w:r w:rsidRPr="002959A9">
              <w:rPr>
                <w:rFonts w:ascii="Times New Roman" w:hAnsi="Times New Roman" w:cs="Times New Roman"/>
              </w:rPr>
              <w:t>e</w:t>
            </w:r>
            <w:r w:rsidR="007540E9" w:rsidRPr="002959A9">
              <w:rPr>
                <w:rFonts w:ascii="Times New Roman" w:hAnsi="Times New Roman" w:cs="Times New Roman"/>
              </w:rPr>
              <w:t>kstrakcija zuba s lošom prognozom</w:t>
            </w:r>
            <w:r w:rsidRPr="002959A9">
              <w:rPr>
                <w:rFonts w:ascii="Times New Roman" w:hAnsi="Times New Roman" w:cs="Times New Roman"/>
              </w:rPr>
              <w:t xml:space="preserve"> (</w:t>
            </w:r>
            <w:r w:rsidR="005E5E4E" w:rsidRPr="002959A9">
              <w:rPr>
                <w:rFonts w:ascii="Times New Roman" w:hAnsi="Times New Roman" w:cs="Times New Roman"/>
              </w:rPr>
              <w:t>pomični</w:t>
            </w:r>
            <w:r w:rsidR="007540E9" w:rsidRPr="002959A9">
              <w:rPr>
                <w:rFonts w:ascii="Times New Roman" w:hAnsi="Times New Roman" w:cs="Times New Roman"/>
              </w:rPr>
              <w:t>, nevitalni, PA radiolucencija</w:t>
            </w:r>
            <w:r w:rsidRPr="002959A9">
              <w:rPr>
                <w:rFonts w:ascii="Times New Roman" w:hAnsi="Times New Roman" w:cs="Times New Roman"/>
              </w:rPr>
              <w:t>)</w:t>
            </w:r>
          </w:p>
        </w:tc>
      </w:tr>
      <w:tr w:rsidR="007540E9" w:rsidRPr="002959A9" w14:paraId="3E873D54" w14:textId="77777777" w:rsidTr="008E1998">
        <w:tc>
          <w:tcPr>
            <w:tcW w:w="2912" w:type="dxa"/>
            <w:shd w:val="clear" w:color="auto" w:fill="DEEAF6" w:themeFill="accent1" w:themeFillTint="33"/>
            <w:vAlign w:val="center"/>
          </w:tcPr>
          <w:p w14:paraId="7208501B" w14:textId="77777777" w:rsidR="007540E9" w:rsidRPr="002959A9" w:rsidRDefault="007540E9" w:rsidP="00683427">
            <w:pPr>
              <w:rPr>
                <w:rFonts w:ascii="Times New Roman" w:hAnsi="Times New Roman" w:cs="Times New Roman"/>
                <w:b/>
              </w:rPr>
            </w:pPr>
            <w:r w:rsidRPr="002959A9">
              <w:rPr>
                <w:rFonts w:ascii="Times New Roman" w:hAnsi="Times New Roman" w:cs="Times New Roman"/>
                <w:b/>
              </w:rPr>
              <w:t>PARODONT</w:t>
            </w:r>
          </w:p>
        </w:tc>
        <w:tc>
          <w:tcPr>
            <w:tcW w:w="3021" w:type="dxa"/>
            <w:shd w:val="clear" w:color="auto" w:fill="DEEAF6" w:themeFill="accent1" w:themeFillTint="33"/>
            <w:vAlign w:val="center"/>
          </w:tcPr>
          <w:p w14:paraId="43F61857" w14:textId="77777777" w:rsidR="007540E9" w:rsidRPr="002959A9" w:rsidRDefault="003229F6" w:rsidP="00683427">
            <w:pPr>
              <w:rPr>
                <w:rFonts w:ascii="Times New Roman" w:hAnsi="Times New Roman" w:cs="Times New Roman"/>
              </w:rPr>
            </w:pPr>
            <w:r w:rsidRPr="002959A9">
              <w:rPr>
                <w:rFonts w:ascii="Times New Roman" w:hAnsi="Times New Roman" w:cs="Times New Roman"/>
              </w:rPr>
              <w:t>p</w:t>
            </w:r>
            <w:r w:rsidR="007540E9" w:rsidRPr="002959A9">
              <w:rPr>
                <w:rFonts w:ascii="Times New Roman" w:hAnsi="Times New Roman" w:cs="Times New Roman"/>
              </w:rPr>
              <w:t>arodontološki pregled (PBI, džepovi)</w:t>
            </w:r>
          </w:p>
        </w:tc>
        <w:tc>
          <w:tcPr>
            <w:tcW w:w="3139" w:type="dxa"/>
            <w:shd w:val="clear" w:color="auto" w:fill="DEEAF6" w:themeFill="accent1" w:themeFillTint="33"/>
            <w:vAlign w:val="center"/>
          </w:tcPr>
          <w:p w14:paraId="5310973F" w14:textId="77777777" w:rsidR="007540E9" w:rsidRPr="002959A9" w:rsidRDefault="003229F6" w:rsidP="00683427">
            <w:pPr>
              <w:rPr>
                <w:rFonts w:ascii="Times New Roman" w:hAnsi="Times New Roman" w:cs="Times New Roman"/>
              </w:rPr>
            </w:pPr>
            <w:r w:rsidRPr="002959A9">
              <w:rPr>
                <w:rFonts w:ascii="Times New Roman" w:hAnsi="Times New Roman" w:cs="Times New Roman"/>
              </w:rPr>
              <w:t>s</w:t>
            </w:r>
            <w:r w:rsidR="007540E9" w:rsidRPr="002959A9">
              <w:rPr>
                <w:rFonts w:ascii="Times New Roman" w:hAnsi="Times New Roman" w:cs="Times New Roman"/>
              </w:rPr>
              <w:t xml:space="preserve">truganje i poliranje </w:t>
            </w:r>
            <w:r w:rsidR="005E5E4E" w:rsidRPr="002959A9">
              <w:rPr>
                <w:rFonts w:ascii="Times New Roman" w:hAnsi="Times New Roman" w:cs="Times New Roman"/>
              </w:rPr>
              <w:t>korjenova</w:t>
            </w:r>
          </w:p>
        </w:tc>
      </w:tr>
      <w:tr w:rsidR="007540E9" w:rsidRPr="002959A9" w14:paraId="3900F2C9" w14:textId="77777777" w:rsidTr="008E1998">
        <w:tc>
          <w:tcPr>
            <w:tcW w:w="2912" w:type="dxa"/>
            <w:shd w:val="clear" w:color="auto" w:fill="DEEAF6" w:themeFill="accent1" w:themeFillTint="33"/>
            <w:vAlign w:val="center"/>
          </w:tcPr>
          <w:p w14:paraId="65489981" w14:textId="77777777" w:rsidR="007540E9" w:rsidRPr="002959A9" w:rsidRDefault="007540E9" w:rsidP="00683427">
            <w:pPr>
              <w:rPr>
                <w:rFonts w:ascii="Times New Roman" w:hAnsi="Times New Roman" w:cs="Times New Roman"/>
                <w:b/>
              </w:rPr>
            </w:pPr>
            <w:r w:rsidRPr="002959A9">
              <w:rPr>
                <w:rFonts w:ascii="Times New Roman" w:hAnsi="Times New Roman" w:cs="Times New Roman"/>
                <w:b/>
              </w:rPr>
              <w:t>PERIKORONITIS</w:t>
            </w:r>
          </w:p>
        </w:tc>
        <w:tc>
          <w:tcPr>
            <w:tcW w:w="3021" w:type="dxa"/>
            <w:shd w:val="clear" w:color="auto" w:fill="DEEAF6" w:themeFill="accent1" w:themeFillTint="33"/>
            <w:vAlign w:val="center"/>
          </w:tcPr>
          <w:p w14:paraId="2D35C979" w14:textId="77777777" w:rsidR="007540E9" w:rsidRPr="002959A9" w:rsidRDefault="003229F6" w:rsidP="00683427">
            <w:pPr>
              <w:rPr>
                <w:rFonts w:ascii="Times New Roman" w:hAnsi="Times New Roman" w:cs="Times New Roman"/>
              </w:rPr>
            </w:pPr>
            <w:r w:rsidRPr="002959A9">
              <w:rPr>
                <w:rFonts w:ascii="Times New Roman" w:hAnsi="Times New Roman" w:cs="Times New Roman"/>
              </w:rPr>
              <w:t>a</w:t>
            </w:r>
            <w:r w:rsidR="007540E9" w:rsidRPr="002959A9">
              <w:rPr>
                <w:rFonts w:ascii="Times New Roman" w:hAnsi="Times New Roman" w:cs="Times New Roman"/>
              </w:rPr>
              <w:t xml:space="preserve">namneza, RTG </w:t>
            </w:r>
          </w:p>
        </w:tc>
        <w:tc>
          <w:tcPr>
            <w:tcW w:w="3139" w:type="dxa"/>
            <w:shd w:val="clear" w:color="auto" w:fill="DEEAF6" w:themeFill="accent1" w:themeFillTint="33"/>
            <w:vAlign w:val="center"/>
          </w:tcPr>
          <w:p w14:paraId="037EF81C" w14:textId="77777777" w:rsidR="007540E9" w:rsidRPr="002959A9" w:rsidRDefault="003229F6" w:rsidP="00683427">
            <w:pPr>
              <w:rPr>
                <w:rFonts w:ascii="Times New Roman" w:hAnsi="Times New Roman" w:cs="Times New Roman"/>
              </w:rPr>
            </w:pPr>
            <w:r w:rsidRPr="002959A9">
              <w:rPr>
                <w:rFonts w:ascii="Times New Roman" w:hAnsi="Times New Roman" w:cs="Times New Roman"/>
              </w:rPr>
              <w:t>e</w:t>
            </w:r>
            <w:r w:rsidR="007540E9" w:rsidRPr="002959A9">
              <w:rPr>
                <w:rFonts w:ascii="Times New Roman" w:hAnsi="Times New Roman" w:cs="Times New Roman"/>
              </w:rPr>
              <w:t>kstrakcija &gt;2 tj.prije transplantacije</w:t>
            </w:r>
          </w:p>
        </w:tc>
      </w:tr>
    </w:tbl>
    <w:p w14:paraId="746ECDBA" w14:textId="77777777" w:rsidR="00FE6414" w:rsidRPr="002959A9" w:rsidRDefault="00FE6414" w:rsidP="008A0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74810" w14:textId="77777777" w:rsidR="008A0376" w:rsidRPr="002959A9" w:rsidRDefault="008A0376" w:rsidP="0029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A9">
        <w:rPr>
          <w:rFonts w:ascii="Times New Roman" w:hAnsi="Times New Roman" w:cs="Times New Roman"/>
          <w:sz w:val="24"/>
          <w:szCs w:val="24"/>
        </w:rPr>
        <w:lastRenderedPageBreak/>
        <w:t>PREMEDIKACIJA I SPECIFIČNOSTI POJEDINIH ORGANA</w:t>
      </w:r>
    </w:p>
    <w:p w14:paraId="32F47271" w14:textId="77777777" w:rsidR="005C23FC" w:rsidRPr="002959A9" w:rsidRDefault="007739C3" w:rsidP="0029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A9">
        <w:rPr>
          <w:rFonts w:ascii="Times New Roman" w:eastAsia="Times New Roman" w:hAnsi="Times New Roman" w:cs="Times New Roman"/>
          <w:sz w:val="24"/>
          <w:szCs w:val="24"/>
        </w:rPr>
        <w:t>Bolesnici kojima je indicirana transplantacija imaju teško narušeno opće zdravstveno stanje te ih je potrebno promatrati kao visoko rizične pacijente</w:t>
      </w:r>
      <w:r w:rsidR="003229F6" w:rsidRPr="002959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06A6" w:rsidRPr="002959A9">
        <w:rPr>
          <w:rFonts w:ascii="Times New Roman" w:eastAsia="Times New Roman" w:hAnsi="Times New Roman" w:cs="Times New Roman"/>
          <w:sz w:val="24"/>
          <w:szCs w:val="24"/>
        </w:rPr>
        <w:t xml:space="preserve"> Osim osnovne bolesti, rizik donose i lijekovi koji su indicirani za njihovu osnovnu bolest (antikoagulacijski, antiagregacijski, blokatori kalcijskih kanala, beta blokatori, diuretici)</w:t>
      </w:r>
      <w:r w:rsidR="008650E1" w:rsidRPr="002959A9">
        <w:rPr>
          <w:rFonts w:ascii="Times New Roman" w:eastAsia="Times New Roman" w:hAnsi="Times New Roman" w:cs="Times New Roman"/>
          <w:sz w:val="24"/>
          <w:szCs w:val="24"/>
        </w:rPr>
        <w:t xml:space="preserve"> (1, 4, </w:t>
      </w:r>
      <w:r w:rsidR="002978D7" w:rsidRPr="002959A9">
        <w:rPr>
          <w:rFonts w:ascii="Times New Roman" w:eastAsia="Times New Roman" w:hAnsi="Times New Roman" w:cs="Times New Roman"/>
          <w:sz w:val="24"/>
          <w:szCs w:val="24"/>
        </w:rPr>
        <w:t>7-</w:t>
      </w:r>
      <w:r w:rsidR="00E53313" w:rsidRPr="002959A9">
        <w:rPr>
          <w:rFonts w:ascii="Times New Roman" w:eastAsia="Times New Roman" w:hAnsi="Times New Roman" w:cs="Times New Roman"/>
          <w:sz w:val="24"/>
          <w:szCs w:val="24"/>
        </w:rPr>
        <w:t>9</w:t>
      </w:r>
      <w:r w:rsidR="00D14882" w:rsidRPr="002959A9">
        <w:rPr>
          <w:rFonts w:ascii="Times New Roman" w:eastAsia="Times New Roman" w:hAnsi="Times New Roman" w:cs="Times New Roman"/>
          <w:sz w:val="24"/>
          <w:szCs w:val="24"/>
        </w:rPr>
        <w:t>)</w:t>
      </w:r>
      <w:r w:rsidR="003006A6" w:rsidRPr="002959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7762" w:rsidRPr="0029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9F6" w:rsidRPr="002959A9">
        <w:rPr>
          <w:rFonts w:ascii="Times New Roman" w:eastAsia="Times New Roman" w:hAnsi="Times New Roman" w:cs="Times New Roman"/>
          <w:sz w:val="24"/>
          <w:szCs w:val="24"/>
        </w:rPr>
        <w:t>Kod ovakvih pacijenata treba procijeniti funkciju metaboličkih, hemostatskih i homeostatskih mehanizama (</w:t>
      </w:r>
      <w:r w:rsidR="008650E1" w:rsidRPr="002959A9">
        <w:rPr>
          <w:rFonts w:ascii="Times New Roman" w:eastAsia="Times New Roman" w:hAnsi="Times New Roman" w:cs="Times New Roman"/>
          <w:sz w:val="24"/>
          <w:szCs w:val="24"/>
        </w:rPr>
        <w:t xml:space="preserve">4, </w:t>
      </w:r>
      <w:r w:rsidR="003229F6" w:rsidRPr="002959A9">
        <w:rPr>
          <w:rFonts w:ascii="Times New Roman" w:eastAsia="Times New Roman" w:hAnsi="Times New Roman" w:cs="Times New Roman"/>
          <w:sz w:val="24"/>
          <w:szCs w:val="24"/>
        </w:rPr>
        <w:t>6).</w:t>
      </w:r>
      <w:r w:rsidR="003006A6" w:rsidRPr="0029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0E1" w:rsidRPr="002959A9">
        <w:rPr>
          <w:rFonts w:ascii="Times New Roman" w:eastAsia="Times New Roman" w:hAnsi="Times New Roman" w:cs="Times New Roman"/>
          <w:sz w:val="24"/>
          <w:szCs w:val="24"/>
        </w:rPr>
        <w:t xml:space="preserve">Problematika je kompleksna, a stomatološki tim treba razmotriti potrebu za antibiotskom profilaksom, rizike od krvarenja i infekcije, moguće interakcije lijekova i toksične reakcije. </w:t>
      </w:r>
      <w:r w:rsidR="008A0376" w:rsidRPr="002959A9">
        <w:rPr>
          <w:rFonts w:ascii="Times New Roman" w:hAnsi="Times New Roman" w:cs="Times New Roman"/>
          <w:sz w:val="24"/>
          <w:szCs w:val="24"/>
        </w:rPr>
        <w:t xml:space="preserve">Danas ne postoji standardizirani dogovor oko svih indikacija za antibiotskom profilaksom te ovo i dalje ostaje tema mnogih rasprava (1, 4, </w:t>
      </w:r>
      <w:r w:rsidR="002978D7" w:rsidRPr="002959A9">
        <w:rPr>
          <w:rFonts w:ascii="Times New Roman" w:hAnsi="Times New Roman" w:cs="Times New Roman"/>
          <w:sz w:val="24"/>
          <w:szCs w:val="24"/>
        </w:rPr>
        <w:t>7-</w:t>
      </w:r>
      <w:r w:rsidR="00E53313" w:rsidRPr="002959A9">
        <w:rPr>
          <w:rFonts w:ascii="Times New Roman" w:hAnsi="Times New Roman" w:cs="Times New Roman"/>
          <w:sz w:val="24"/>
          <w:szCs w:val="24"/>
        </w:rPr>
        <w:t>9</w:t>
      </w:r>
      <w:r w:rsidR="008A0376" w:rsidRPr="002959A9">
        <w:rPr>
          <w:rFonts w:ascii="Times New Roman" w:hAnsi="Times New Roman" w:cs="Times New Roman"/>
          <w:sz w:val="24"/>
          <w:szCs w:val="24"/>
        </w:rPr>
        <w:t>). Svi pacijenti na imunosupresivnoj terapiji imaju povećan rizik od bakterijemije</w:t>
      </w:r>
      <w:r w:rsidR="00610612" w:rsidRPr="002959A9">
        <w:rPr>
          <w:rFonts w:ascii="Times New Roman" w:hAnsi="Times New Roman" w:cs="Times New Roman"/>
          <w:sz w:val="24"/>
          <w:szCs w:val="24"/>
        </w:rPr>
        <w:t>, ali ima jako malo kliničkih s</w:t>
      </w:r>
      <w:r w:rsidR="0085492E" w:rsidRPr="002959A9">
        <w:rPr>
          <w:rFonts w:ascii="Times New Roman" w:hAnsi="Times New Roman" w:cs="Times New Roman"/>
          <w:sz w:val="24"/>
          <w:szCs w:val="24"/>
        </w:rPr>
        <w:t xml:space="preserve">tudija </w:t>
      </w:r>
      <w:r w:rsidR="00610612" w:rsidRPr="002959A9">
        <w:rPr>
          <w:rFonts w:ascii="Times New Roman" w:hAnsi="Times New Roman" w:cs="Times New Roman"/>
          <w:sz w:val="24"/>
          <w:szCs w:val="24"/>
        </w:rPr>
        <w:t>koj</w:t>
      </w:r>
      <w:r w:rsidR="0085492E" w:rsidRPr="002959A9">
        <w:rPr>
          <w:rFonts w:ascii="Times New Roman" w:hAnsi="Times New Roman" w:cs="Times New Roman"/>
          <w:sz w:val="24"/>
          <w:szCs w:val="24"/>
        </w:rPr>
        <w:t>e</w:t>
      </w:r>
      <w:r w:rsidR="00610612" w:rsidRPr="002959A9">
        <w:rPr>
          <w:rFonts w:ascii="Times New Roman" w:hAnsi="Times New Roman" w:cs="Times New Roman"/>
          <w:sz w:val="24"/>
          <w:szCs w:val="24"/>
        </w:rPr>
        <w:t xml:space="preserve"> bi dokazal</w:t>
      </w:r>
      <w:r w:rsidR="0085492E" w:rsidRPr="002959A9">
        <w:rPr>
          <w:rFonts w:ascii="Times New Roman" w:hAnsi="Times New Roman" w:cs="Times New Roman"/>
          <w:sz w:val="24"/>
          <w:szCs w:val="24"/>
        </w:rPr>
        <w:t>e</w:t>
      </w:r>
      <w:r w:rsidR="00610612" w:rsidRPr="002959A9">
        <w:rPr>
          <w:rFonts w:ascii="Times New Roman" w:hAnsi="Times New Roman" w:cs="Times New Roman"/>
          <w:sz w:val="24"/>
          <w:szCs w:val="24"/>
        </w:rPr>
        <w:t xml:space="preserve"> </w:t>
      </w:r>
      <w:r w:rsidR="00F964A8" w:rsidRPr="002959A9">
        <w:rPr>
          <w:rFonts w:ascii="Times New Roman" w:hAnsi="Times New Roman" w:cs="Times New Roman"/>
          <w:sz w:val="24"/>
          <w:szCs w:val="24"/>
        </w:rPr>
        <w:t>korist</w:t>
      </w:r>
      <w:r w:rsidR="00610612" w:rsidRPr="002959A9">
        <w:rPr>
          <w:rFonts w:ascii="Times New Roman" w:hAnsi="Times New Roman" w:cs="Times New Roman"/>
          <w:sz w:val="24"/>
          <w:szCs w:val="24"/>
        </w:rPr>
        <w:t xml:space="preserve"> antibiotske profilakse (1).</w:t>
      </w:r>
      <w:r w:rsidR="00F964A8" w:rsidRPr="002959A9">
        <w:rPr>
          <w:rFonts w:ascii="Times New Roman" w:hAnsi="Times New Roman" w:cs="Times New Roman"/>
          <w:sz w:val="24"/>
          <w:szCs w:val="24"/>
        </w:rPr>
        <w:t xml:space="preserve"> </w:t>
      </w:r>
      <w:r w:rsidR="00CD4318" w:rsidRPr="002959A9">
        <w:rPr>
          <w:rFonts w:ascii="Times New Roman" w:hAnsi="Times New Roman" w:cs="Times New Roman"/>
          <w:sz w:val="24"/>
          <w:szCs w:val="24"/>
        </w:rPr>
        <w:t xml:space="preserve">Pregledom literature </w:t>
      </w:r>
      <w:r w:rsidR="00E53313" w:rsidRPr="002959A9">
        <w:rPr>
          <w:rFonts w:ascii="Times New Roman" w:hAnsi="Times New Roman" w:cs="Times New Roman"/>
          <w:sz w:val="24"/>
          <w:szCs w:val="24"/>
        </w:rPr>
        <w:t xml:space="preserve">može se zaključiti </w:t>
      </w:r>
      <w:r w:rsidR="00CD4318" w:rsidRPr="002959A9">
        <w:rPr>
          <w:rFonts w:ascii="Times New Roman" w:hAnsi="Times New Roman" w:cs="Times New Roman"/>
          <w:sz w:val="24"/>
          <w:szCs w:val="24"/>
        </w:rPr>
        <w:t>da je z</w:t>
      </w:r>
      <w:r w:rsidR="008A0376" w:rsidRPr="002959A9">
        <w:rPr>
          <w:rFonts w:ascii="Times New Roman" w:hAnsi="Times New Roman" w:cs="Times New Roman"/>
          <w:sz w:val="24"/>
          <w:szCs w:val="24"/>
        </w:rPr>
        <w:t>a pacijente koji su kandidati za transplantaciju srca</w:t>
      </w:r>
      <w:r w:rsidR="00610612" w:rsidRPr="002959A9">
        <w:rPr>
          <w:rFonts w:ascii="Times New Roman" w:hAnsi="Times New Roman" w:cs="Times New Roman"/>
          <w:sz w:val="24"/>
          <w:szCs w:val="24"/>
        </w:rPr>
        <w:t xml:space="preserve"> (valvulopatija, kongenitalne srčane mane)</w:t>
      </w:r>
      <w:r w:rsidR="008A0376" w:rsidRPr="002959A9">
        <w:rPr>
          <w:rFonts w:ascii="Times New Roman" w:hAnsi="Times New Roman" w:cs="Times New Roman"/>
          <w:sz w:val="24"/>
          <w:szCs w:val="24"/>
        </w:rPr>
        <w:t xml:space="preserve"> </w:t>
      </w:r>
      <w:r w:rsidR="00CD4318" w:rsidRPr="002959A9">
        <w:rPr>
          <w:rFonts w:ascii="Times New Roman" w:hAnsi="Times New Roman" w:cs="Times New Roman"/>
          <w:sz w:val="24"/>
          <w:szCs w:val="24"/>
        </w:rPr>
        <w:t xml:space="preserve">i transplantaciju bubrega (kronična bubrežna bolest, 3.stadij) </w:t>
      </w:r>
      <w:r w:rsidR="008A0376" w:rsidRPr="002959A9">
        <w:rPr>
          <w:rFonts w:ascii="Times New Roman" w:hAnsi="Times New Roman" w:cs="Times New Roman"/>
          <w:sz w:val="24"/>
          <w:szCs w:val="24"/>
        </w:rPr>
        <w:t>indicirana</w:t>
      </w:r>
      <w:r w:rsidR="00CD4318" w:rsidRPr="002959A9">
        <w:rPr>
          <w:rFonts w:ascii="Times New Roman" w:hAnsi="Times New Roman" w:cs="Times New Roman"/>
          <w:sz w:val="24"/>
          <w:szCs w:val="24"/>
        </w:rPr>
        <w:t xml:space="preserve"> </w:t>
      </w:r>
      <w:r w:rsidR="008A0376" w:rsidRPr="002959A9">
        <w:rPr>
          <w:rFonts w:ascii="Times New Roman" w:hAnsi="Times New Roman" w:cs="Times New Roman"/>
          <w:sz w:val="24"/>
          <w:szCs w:val="24"/>
        </w:rPr>
        <w:t>antibiotska profilaksa</w:t>
      </w:r>
      <w:r w:rsidR="00F964A8" w:rsidRPr="002959A9">
        <w:rPr>
          <w:rFonts w:ascii="Times New Roman" w:hAnsi="Times New Roman" w:cs="Times New Roman"/>
          <w:sz w:val="24"/>
          <w:szCs w:val="24"/>
        </w:rPr>
        <w:t xml:space="preserve"> </w:t>
      </w:r>
      <w:r w:rsidR="008A0376" w:rsidRPr="002959A9">
        <w:rPr>
          <w:rFonts w:ascii="Times New Roman" w:hAnsi="Times New Roman" w:cs="Times New Roman"/>
          <w:sz w:val="24"/>
          <w:szCs w:val="24"/>
        </w:rPr>
        <w:t xml:space="preserve">(1, </w:t>
      </w:r>
      <w:r w:rsidR="00CD4318" w:rsidRPr="002959A9">
        <w:rPr>
          <w:rFonts w:ascii="Times New Roman" w:hAnsi="Times New Roman" w:cs="Times New Roman"/>
          <w:sz w:val="24"/>
          <w:szCs w:val="24"/>
        </w:rPr>
        <w:t>8, 11</w:t>
      </w:r>
      <w:r w:rsidR="008A0376" w:rsidRPr="002959A9">
        <w:rPr>
          <w:rFonts w:ascii="Times New Roman" w:hAnsi="Times New Roman" w:cs="Times New Roman"/>
          <w:sz w:val="24"/>
          <w:szCs w:val="24"/>
        </w:rPr>
        <w:t xml:space="preserve">). </w:t>
      </w:r>
      <w:r w:rsidR="00CD4318" w:rsidRPr="002959A9">
        <w:rPr>
          <w:rFonts w:ascii="Times New Roman" w:hAnsi="Times New Roman" w:cs="Times New Roman"/>
          <w:sz w:val="24"/>
          <w:szCs w:val="24"/>
        </w:rPr>
        <w:t>Sva ostala stanja (kardiomiopatija, nefropatija, kronični hepatitis)</w:t>
      </w:r>
      <w:r w:rsidR="00F964A8" w:rsidRPr="002959A9">
        <w:rPr>
          <w:rFonts w:ascii="Times New Roman" w:hAnsi="Times New Roman" w:cs="Times New Roman"/>
          <w:sz w:val="24"/>
          <w:szCs w:val="24"/>
        </w:rPr>
        <w:t xml:space="preserve"> nemaju dokazanu korist</w:t>
      </w:r>
      <w:r w:rsidR="00E53313" w:rsidRPr="002959A9">
        <w:rPr>
          <w:rFonts w:ascii="Times New Roman" w:hAnsi="Times New Roman" w:cs="Times New Roman"/>
          <w:sz w:val="24"/>
          <w:szCs w:val="24"/>
        </w:rPr>
        <w:t xml:space="preserve"> od</w:t>
      </w:r>
      <w:r w:rsidR="00F964A8" w:rsidRPr="002959A9">
        <w:rPr>
          <w:rFonts w:ascii="Times New Roman" w:hAnsi="Times New Roman" w:cs="Times New Roman"/>
          <w:sz w:val="24"/>
          <w:szCs w:val="24"/>
        </w:rPr>
        <w:t xml:space="preserve"> profilakse (1).</w:t>
      </w:r>
      <w:r w:rsidR="00CD4318" w:rsidRPr="002959A9">
        <w:rPr>
          <w:rFonts w:ascii="Times New Roman" w:hAnsi="Times New Roman" w:cs="Times New Roman"/>
          <w:sz w:val="24"/>
          <w:szCs w:val="24"/>
        </w:rPr>
        <w:t xml:space="preserve"> </w:t>
      </w:r>
      <w:r w:rsidR="00F964A8" w:rsidRPr="002959A9">
        <w:rPr>
          <w:rFonts w:ascii="Times New Roman" w:hAnsi="Times New Roman" w:cs="Times New Roman"/>
          <w:sz w:val="24"/>
          <w:szCs w:val="24"/>
          <w:lang w:val="de-DE"/>
        </w:rPr>
        <w:t>Također, p</w:t>
      </w:r>
      <w:r w:rsidR="008A0376" w:rsidRPr="002959A9">
        <w:rPr>
          <w:rFonts w:ascii="Times New Roman" w:hAnsi="Times New Roman" w:cs="Times New Roman"/>
          <w:sz w:val="24"/>
          <w:szCs w:val="24"/>
          <w:lang w:val="de-DE"/>
        </w:rPr>
        <w:t>rimjena antibiotika</w:t>
      </w:r>
      <w:r w:rsidR="008A0376" w:rsidRPr="002959A9">
        <w:rPr>
          <w:rFonts w:ascii="Times New Roman" w:hAnsi="Times New Roman" w:cs="Times New Roman"/>
          <w:sz w:val="24"/>
          <w:szCs w:val="24"/>
        </w:rPr>
        <w:t xml:space="preserve"> 2</w:t>
      </w:r>
      <w:r w:rsidR="00E53313" w:rsidRPr="002959A9">
        <w:rPr>
          <w:rFonts w:ascii="Times New Roman" w:hAnsi="Times New Roman" w:cs="Times New Roman"/>
          <w:sz w:val="24"/>
          <w:szCs w:val="24"/>
        </w:rPr>
        <w:t xml:space="preserve"> </w:t>
      </w:r>
      <w:r w:rsidR="008A0376" w:rsidRPr="002959A9">
        <w:rPr>
          <w:rFonts w:ascii="Times New Roman" w:hAnsi="Times New Roman" w:cs="Times New Roman"/>
          <w:sz w:val="24"/>
          <w:szCs w:val="24"/>
        </w:rPr>
        <w:t>tj</w:t>
      </w:r>
      <w:r w:rsidR="00E53313" w:rsidRPr="002959A9">
        <w:rPr>
          <w:rFonts w:ascii="Times New Roman" w:hAnsi="Times New Roman" w:cs="Times New Roman"/>
          <w:sz w:val="24"/>
          <w:szCs w:val="24"/>
        </w:rPr>
        <w:t>edna</w:t>
      </w:r>
      <w:r w:rsidR="008A0376" w:rsidRPr="002959A9">
        <w:rPr>
          <w:rFonts w:ascii="Times New Roman" w:hAnsi="Times New Roman" w:cs="Times New Roman"/>
          <w:sz w:val="24"/>
          <w:szCs w:val="24"/>
        </w:rPr>
        <w:t xml:space="preserve"> prije transplantacije jetre znatno povećava rizik od gljivičnih infekcija. Navodi se podatak da gljivične infekcije uzrokuju stopu smrtnosti od 69% u posttransplantacijskom periodu (</w:t>
      </w:r>
      <w:r w:rsidR="00F964A8" w:rsidRPr="002959A9">
        <w:rPr>
          <w:rFonts w:ascii="Times New Roman" w:hAnsi="Times New Roman" w:cs="Times New Roman"/>
          <w:sz w:val="24"/>
          <w:szCs w:val="24"/>
        </w:rPr>
        <w:t>9</w:t>
      </w:r>
      <w:r w:rsidR="008A0376" w:rsidRPr="002959A9">
        <w:rPr>
          <w:rFonts w:ascii="Times New Roman" w:hAnsi="Times New Roman" w:cs="Times New Roman"/>
          <w:sz w:val="24"/>
          <w:szCs w:val="24"/>
        </w:rPr>
        <w:t>). Zbog svega navedenog,</w:t>
      </w:r>
      <w:r w:rsidR="004E0B1B" w:rsidRPr="002959A9">
        <w:rPr>
          <w:rFonts w:ascii="Times New Roman" w:hAnsi="Times New Roman" w:cs="Times New Roman"/>
          <w:sz w:val="24"/>
          <w:szCs w:val="24"/>
        </w:rPr>
        <w:t xml:space="preserve"> ne</w:t>
      </w:r>
      <w:r w:rsidR="005C23FC" w:rsidRPr="002959A9">
        <w:rPr>
          <w:rFonts w:ascii="Times New Roman" w:hAnsi="Times New Roman" w:cs="Times New Roman"/>
          <w:sz w:val="24"/>
          <w:szCs w:val="24"/>
        </w:rPr>
        <w:t xml:space="preserve"> </w:t>
      </w:r>
      <w:r w:rsidR="004E0B1B" w:rsidRPr="002959A9">
        <w:rPr>
          <w:rFonts w:ascii="Times New Roman" w:hAnsi="Times New Roman" w:cs="Times New Roman"/>
          <w:sz w:val="24"/>
          <w:szCs w:val="24"/>
        </w:rPr>
        <w:t>bi</w:t>
      </w:r>
      <w:r w:rsidR="0085492E" w:rsidRPr="002959A9">
        <w:rPr>
          <w:rFonts w:ascii="Times New Roman" w:hAnsi="Times New Roman" w:cs="Times New Roman"/>
          <w:sz w:val="24"/>
          <w:szCs w:val="24"/>
        </w:rPr>
        <w:t xml:space="preserve"> se smjelo rutinski p</w:t>
      </w:r>
      <w:r w:rsidR="004E0B1B" w:rsidRPr="002959A9">
        <w:rPr>
          <w:rFonts w:ascii="Times New Roman" w:hAnsi="Times New Roman" w:cs="Times New Roman"/>
          <w:sz w:val="24"/>
          <w:szCs w:val="24"/>
        </w:rPr>
        <w:t xml:space="preserve">rimjenjivati antibiotike, već individualno pristupiti svakom pacijentu </w:t>
      </w:r>
      <w:r w:rsidR="008A0376" w:rsidRPr="002959A9">
        <w:rPr>
          <w:rFonts w:ascii="Times New Roman" w:hAnsi="Times New Roman" w:cs="Times New Roman"/>
          <w:sz w:val="24"/>
          <w:szCs w:val="24"/>
        </w:rPr>
        <w:t>(1, 4).</w:t>
      </w:r>
    </w:p>
    <w:p w14:paraId="66D730B7" w14:textId="77777777" w:rsidR="005C23FC" w:rsidRPr="002959A9" w:rsidRDefault="003F0CB3" w:rsidP="0029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A9">
        <w:rPr>
          <w:rFonts w:ascii="Times New Roman" w:hAnsi="Times New Roman" w:cs="Times New Roman"/>
          <w:sz w:val="24"/>
          <w:szCs w:val="24"/>
        </w:rPr>
        <w:t xml:space="preserve">Doktor dentalne medicine treba procijeniti rizik od </w:t>
      </w:r>
      <w:r w:rsidR="005C23FC" w:rsidRPr="002959A9">
        <w:rPr>
          <w:rFonts w:ascii="Times New Roman" w:hAnsi="Times New Roman" w:cs="Times New Roman"/>
          <w:sz w:val="24"/>
          <w:szCs w:val="24"/>
        </w:rPr>
        <w:t xml:space="preserve">produljenog </w:t>
      </w:r>
      <w:r w:rsidRPr="002959A9">
        <w:rPr>
          <w:rFonts w:ascii="Times New Roman" w:hAnsi="Times New Roman" w:cs="Times New Roman"/>
          <w:sz w:val="24"/>
          <w:szCs w:val="24"/>
        </w:rPr>
        <w:t>krvarenja i razvoja infekcije (1, 3, 4). Rizik za infekciju u razdoblju prije transplantacije se ne razlikuje od ostale populacije, ali kod kandidata za transplantaciju matičnih stanica potrebno je pregledati krvnu sliku (poremećaj</w:t>
      </w:r>
      <w:r w:rsidR="0085492E" w:rsidRPr="002959A9">
        <w:rPr>
          <w:rFonts w:ascii="Times New Roman" w:hAnsi="Times New Roman" w:cs="Times New Roman"/>
          <w:sz w:val="24"/>
          <w:szCs w:val="24"/>
        </w:rPr>
        <w:t xml:space="preserve"> broja</w:t>
      </w:r>
      <w:r w:rsidRPr="002959A9">
        <w:rPr>
          <w:rFonts w:ascii="Times New Roman" w:hAnsi="Times New Roman" w:cs="Times New Roman"/>
          <w:sz w:val="24"/>
          <w:szCs w:val="24"/>
        </w:rPr>
        <w:t xml:space="preserve"> leukocita) i apsolutni broj neutrofila (1, 7, 12, 1</w:t>
      </w:r>
      <w:r w:rsidR="00DE4223" w:rsidRPr="002959A9">
        <w:rPr>
          <w:rFonts w:ascii="Times New Roman" w:hAnsi="Times New Roman" w:cs="Times New Roman"/>
          <w:sz w:val="24"/>
          <w:szCs w:val="24"/>
        </w:rPr>
        <w:t>6</w:t>
      </w:r>
      <w:r w:rsidRPr="002959A9">
        <w:rPr>
          <w:rFonts w:ascii="Times New Roman" w:hAnsi="Times New Roman" w:cs="Times New Roman"/>
          <w:sz w:val="24"/>
          <w:szCs w:val="24"/>
        </w:rPr>
        <w:t>). Kod ovakvih bolesnika može</w:t>
      </w:r>
      <w:r w:rsidR="00E53313" w:rsidRPr="002959A9">
        <w:rPr>
          <w:rFonts w:ascii="Times New Roman" w:hAnsi="Times New Roman" w:cs="Times New Roman"/>
          <w:sz w:val="24"/>
          <w:szCs w:val="24"/>
        </w:rPr>
        <w:t xml:space="preserve"> se</w:t>
      </w:r>
      <w:r w:rsidRPr="002959A9">
        <w:rPr>
          <w:rFonts w:ascii="Times New Roman" w:hAnsi="Times New Roman" w:cs="Times New Roman"/>
          <w:sz w:val="24"/>
          <w:szCs w:val="24"/>
        </w:rPr>
        <w:t xml:space="preserve"> pružiti uobičajeni stomatološki tretman</w:t>
      </w:r>
      <w:r w:rsidR="00E53313" w:rsidRPr="002959A9">
        <w:rPr>
          <w:rFonts w:ascii="Times New Roman" w:hAnsi="Times New Roman" w:cs="Times New Roman"/>
          <w:sz w:val="24"/>
          <w:szCs w:val="24"/>
        </w:rPr>
        <w:t>,</w:t>
      </w:r>
      <w:r w:rsidRPr="002959A9">
        <w:rPr>
          <w:rFonts w:ascii="Times New Roman" w:hAnsi="Times New Roman" w:cs="Times New Roman"/>
          <w:sz w:val="24"/>
          <w:szCs w:val="24"/>
        </w:rPr>
        <w:t xml:space="preserve"> ako su dobrog općeg stanja te ako im je broj trombocita veći od</w:t>
      </w:r>
      <w:r w:rsidRPr="002959A9">
        <w:rPr>
          <w:rFonts w:ascii="Times New Roman" w:hAnsi="Times New Roman" w:cs="Times New Roman"/>
          <w:lang w:val="de-DE"/>
        </w:rPr>
        <w:t xml:space="preserve"> </w:t>
      </w:r>
      <w:r w:rsidRPr="002959A9">
        <w:rPr>
          <w:rFonts w:ascii="Times New Roman" w:hAnsi="Times New Roman" w:cs="Times New Roman"/>
          <w:sz w:val="24"/>
          <w:szCs w:val="24"/>
          <w:lang w:val="de-DE"/>
        </w:rPr>
        <w:t xml:space="preserve">50.000/mm3, </w:t>
      </w:r>
      <w:r w:rsidRPr="002959A9">
        <w:rPr>
          <w:rFonts w:ascii="Times New Roman" w:hAnsi="Times New Roman" w:cs="Times New Roman"/>
          <w:sz w:val="24"/>
          <w:szCs w:val="24"/>
        </w:rPr>
        <w:t>ukupni broj leukocita veći od 2.000/mm3, odnosno broj neutrofila veći od 1.000/mm3 (7, 12</w:t>
      </w:r>
      <w:r w:rsidR="00DE4223" w:rsidRPr="002959A9">
        <w:rPr>
          <w:rFonts w:ascii="Times New Roman" w:hAnsi="Times New Roman" w:cs="Times New Roman"/>
          <w:sz w:val="24"/>
          <w:szCs w:val="24"/>
        </w:rPr>
        <w:t>, 16</w:t>
      </w:r>
      <w:r w:rsidRPr="002959A9">
        <w:rPr>
          <w:rFonts w:ascii="Times New Roman" w:hAnsi="Times New Roman" w:cs="Times New Roman"/>
          <w:sz w:val="24"/>
          <w:szCs w:val="24"/>
        </w:rPr>
        <w:t>). Opasnost od</w:t>
      </w:r>
      <w:r w:rsidR="005C23FC" w:rsidRPr="002959A9">
        <w:rPr>
          <w:rFonts w:ascii="Times New Roman" w:hAnsi="Times New Roman" w:cs="Times New Roman"/>
          <w:sz w:val="24"/>
          <w:szCs w:val="24"/>
        </w:rPr>
        <w:t xml:space="preserve"> produljenog</w:t>
      </w:r>
      <w:r w:rsidRPr="002959A9">
        <w:rPr>
          <w:rFonts w:ascii="Times New Roman" w:hAnsi="Times New Roman" w:cs="Times New Roman"/>
          <w:sz w:val="24"/>
          <w:szCs w:val="24"/>
        </w:rPr>
        <w:t xml:space="preserve"> krvarenja postoji</w:t>
      </w:r>
      <w:r w:rsidR="00B812FB" w:rsidRPr="002959A9">
        <w:rPr>
          <w:rFonts w:ascii="Times New Roman" w:hAnsi="Times New Roman" w:cs="Times New Roman"/>
          <w:sz w:val="24"/>
          <w:szCs w:val="24"/>
        </w:rPr>
        <w:t xml:space="preserve"> i</w:t>
      </w:r>
      <w:r w:rsidRPr="002959A9">
        <w:rPr>
          <w:rFonts w:ascii="Times New Roman" w:hAnsi="Times New Roman" w:cs="Times New Roman"/>
          <w:sz w:val="24"/>
          <w:szCs w:val="24"/>
        </w:rPr>
        <w:t xml:space="preserve"> kod kandidata za transplantaciju jetre (poremećaj sinteze koagulacijskih faktora) te pacijenata koji su na antiagregacijskoj i antikoagulantnoj terapiji (4, 8, 11, 1</w:t>
      </w:r>
      <w:r w:rsidR="00DE4223" w:rsidRPr="002959A9">
        <w:rPr>
          <w:rFonts w:ascii="Times New Roman" w:hAnsi="Times New Roman" w:cs="Times New Roman"/>
          <w:sz w:val="24"/>
          <w:szCs w:val="24"/>
        </w:rPr>
        <w:t>6</w:t>
      </w:r>
      <w:r w:rsidRPr="002959A9">
        <w:rPr>
          <w:rFonts w:ascii="Times New Roman" w:hAnsi="Times New Roman" w:cs="Times New Roman"/>
          <w:sz w:val="24"/>
          <w:szCs w:val="24"/>
        </w:rPr>
        <w:t>). Također, neki imunosupresivni lijekovi (ciklosporin) mogu dovesti do poremećaja krvarenja (1, 4). Kod takvih pacijenata rezultati testiranja protrombinskog vremena</w:t>
      </w:r>
      <w:r w:rsidR="00103232" w:rsidRPr="002959A9">
        <w:rPr>
          <w:rFonts w:ascii="Times New Roman" w:hAnsi="Times New Roman" w:cs="Times New Roman"/>
          <w:sz w:val="24"/>
          <w:szCs w:val="24"/>
        </w:rPr>
        <w:t xml:space="preserve"> (PV), odnosno internacionalnog normaliziranog omjera</w:t>
      </w:r>
      <w:r w:rsidRPr="002959A9">
        <w:rPr>
          <w:rFonts w:ascii="Times New Roman" w:hAnsi="Times New Roman" w:cs="Times New Roman"/>
          <w:sz w:val="24"/>
          <w:szCs w:val="24"/>
        </w:rPr>
        <w:t xml:space="preserve"> (INR)</w:t>
      </w:r>
      <w:r w:rsidR="00103232" w:rsidRPr="002959A9">
        <w:rPr>
          <w:rFonts w:ascii="Times New Roman" w:hAnsi="Times New Roman" w:cs="Times New Roman"/>
          <w:sz w:val="24"/>
          <w:szCs w:val="24"/>
        </w:rPr>
        <w:t>,</w:t>
      </w:r>
      <w:r w:rsidRPr="002959A9">
        <w:rPr>
          <w:rFonts w:ascii="Times New Roman" w:hAnsi="Times New Roman" w:cs="Times New Roman"/>
          <w:sz w:val="24"/>
          <w:szCs w:val="24"/>
        </w:rPr>
        <w:t xml:space="preserve"> </w:t>
      </w:r>
      <w:r w:rsidR="00103232" w:rsidRPr="002959A9">
        <w:rPr>
          <w:rFonts w:ascii="Times New Roman" w:hAnsi="Times New Roman" w:cs="Times New Roman"/>
          <w:sz w:val="24"/>
          <w:szCs w:val="24"/>
        </w:rPr>
        <w:t>odluč</w:t>
      </w:r>
      <w:r w:rsidR="00503E2D" w:rsidRPr="002959A9">
        <w:rPr>
          <w:rFonts w:ascii="Times New Roman" w:hAnsi="Times New Roman" w:cs="Times New Roman"/>
          <w:sz w:val="24"/>
          <w:szCs w:val="24"/>
        </w:rPr>
        <w:t>ujući je</w:t>
      </w:r>
      <w:r w:rsidR="00103232" w:rsidRPr="002959A9">
        <w:rPr>
          <w:rFonts w:ascii="Times New Roman" w:hAnsi="Times New Roman" w:cs="Times New Roman"/>
          <w:sz w:val="24"/>
          <w:szCs w:val="24"/>
        </w:rPr>
        <w:t xml:space="preserve"> za donošenje odluke o invazivnom stomatološkom zahvatu.</w:t>
      </w:r>
      <w:r w:rsidRPr="002959A9">
        <w:rPr>
          <w:rFonts w:ascii="Times New Roman" w:hAnsi="Times New Roman" w:cs="Times New Roman"/>
          <w:sz w:val="24"/>
          <w:szCs w:val="24"/>
        </w:rPr>
        <w:t xml:space="preserve"> Ako je INR </w:t>
      </w:r>
      <w:r w:rsidR="000A3B35" w:rsidRPr="002959A9">
        <w:rPr>
          <w:rFonts w:ascii="Times New Roman" w:hAnsi="Times New Roman" w:cs="Times New Roman"/>
          <w:sz w:val="24"/>
          <w:szCs w:val="24"/>
        </w:rPr>
        <w:t>≤</w:t>
      </w:r>
      <w:r w:rsidRPr="002959A9">
        <w:rPr>
          <w:rFonts w:ascii="Times New Roman" w:hAnsi="Times New Roman" w:cs="Times New Roman"/>
          <w:sz w:val="24"/>
          <w:szCs w:val="24"/>
        </w:rPr>
        <w:t xml:space="preserve"> 3, pacijent je siguran za sve zahvate (</w:t>
      </w:r>
      <w:r w:rsidR="00DE4223" w:rsidRPr="002959A9">
        <w:rPr>
          <w:rFonts w:ascii="Times New Roman" w:hAnsi="Times New Roman" w:cs="Times New Roman"/>
          <w:sz w:val="24"/>
          <w:szCs w:val="24"/>
        </w:rPr>
        <w:t>17</w:t>
      </w:r>
      <w:r w:rsidRPr="002959A9">
        <w:rPr>
          <w:rFonts w:ascii="Times New Roman" w:hAnsi="Times New Roman" w:cs="Times New Roman"/>
          <w:sz w:val="24"/>
          <w:szCs w:val="24"/>
        </w:rPr>
        <w:t xml:space="preserve">). U slučaju </w:t>
      </w:r>
      <w:r w:rsidR="00503E2D" w:rsidRPr="002959A9">
        <w:rPr>
          <w:rFonts w:ascii="Times New Roman" w:hAnsi="Times New Roman" w:cs="Times New Roman"/>
          <w:sz w:val="24"/>
          <w:szCs w:val="24"/>
        </w:rPr>
        <w:t xml:space="preserve">abnormalnog </w:t>
      </w:r>
      <w:r w:rsidRPr="002959A9">
        <w:rPr>
          <w:rFonts w:ascii="Times New Roman" w:hAnsi="Times New Roman" w:cs="Times New Roman"/>
          <w:sz w:val="24"/>
          <w:szCs w:val="24"/>
        </w:rPr>
        <w:t xml:space="preserve">nalaza (INR &gt; 3,1 i/ili broj trombocita &lt; 50.000/ mm3), prije zahvata je nužna </w:t>
      </w:r>
      <w:r w:rsidRPr="002959A9">
        <w:rPr>
          <w:rFonts w:ascii="Times New Roman" w:hAnsi="Times New Roman" w:cs="Times New Roman"/>
          <w:sz w:val="24"/>
          <w:szCs w:val="24"/>
        </w:rPr>
        <w:lastRenderedPageBreak/>
        <w:t xml:space="preserve">konzultacija s hematologom da bi se </w:t>
      </w:r>
      <w:r w:rsidR="0085492E" w:rsidRPr="002959A9">
        <w:rPr>
          <w:rFonts w:ascii="Times New Roman" w:hAnsi="Times New Roman" w:cs="Times New Roman"/>
          <w:sz w:val="24"/>
          <w:szCs w:val="24"/>
        </w:rPr>
        <w:t>korigirala vrijednost</w:t>
      </w:r>
      <w:r w:rsidRPr="002959A9">
        <w:rPr>
          <w:rFonts w:ascii="Times New Roman" w:hAnsi="Times New Roman" w:cs="Times New Roman"/>
          <w:sz w:val="24"/>
          <w:szCs w:val="24"/>
        </w:rPr>
        <w:t xml:space="preserve"> (8, 9, 11, 1</w:t>
      </w:r>
      <w:r w:rsidR="00DE4223" w:rsidRPr="002959A9">
        <w:rPr>
          <w:rFonts w:ascii="Times New Roman" w:hAnsi="Times New Roman" w:cs="Times New Roman"/>
          <w:sz w:val="24"/>
          <w:szCs w:val="24"/>
        </w:rPr>
        <w:t>6, 17</w:t>
      </w:r>
      <w:r w:rsidRPr="002959A9">
        <w:rPr>
          <w:rFonts w:ascii="Times New Roman" w:hAnsi="Times New Roman" w:cs="Times New Roman"/>
          <w:sz w:val="24"/>
          <w:szCs w:val="24"/>
        </w:rPr>
        <w:t>). U slučaju pojačanog krvarenja treba primijeniti mjere lokalne hemostaze, želatinaste spužvice, trombinske preparate ili antifibrinolitičke tekućine za ispiranje (tran</w:t>
      </w:r>
      <w:r w:rsidR="0085492E" w:rsidRPr="002959A9">
        <w:rPr>
          <w:rFonts w:ascii="Times New Roman" w:hAnsi="Times New Roman" w:cs="Times New Roman"/>
          <w:sz w:val="24"/>
          <w:szCs w:val="24"/>
        </w:rPr>
        <w:t>ek</w:t>
      </w:r>
      <w:r w:rsidRPr="002959A9">
        <w:rPr>
          <w:rFonts w:ascii="Times New Roman" w:hAnsi="Times New Roman" w:cs="Times New Roman"/>
          <w:sz w:val="24"/>
          <w:szCs w:val="24"/>
        </w:rPr>
        <w:t>samična kiselina) (1</w:t>
      </w:r>
      <w:r w:rsidR="00DE4223" w:rsidRPr="002959A9">
        <w:rPr>
          <w:rFonts w:ascii="Times New Roman" w:hAnsi="Times New Roman" w:cs="Times New Roman"/>
          <w:sz w:val="24"/>
          <w:szCs w:val="24"/>
        </w:rPr>
        <w:t>6</w:t>
      </w:r>
      <w:r w:rsidRPr="002959A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874CA40" w14:textId="77777777" w:rsidR="00683427" w:rsidRPr="002959A9" w:rsidRDefault="003F0CB3" w:rsidP="0029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A9">
        <w:rPr>
          <w:rFonts w:ascii="Times New Roman" w:hAnsi="Times New Roman" w:cs="Times New Roman"/>
          <w:sz w:val="24"/>
          <w:szCs w:val="24"/>
        </w:rPr>
        <w:t>Trebalo bi izbjegavati primjenu</w:t>
      </w:r>
      <w:r w:rsidR="0085492E" w:rsidRPr="002959A9">
        <w:rPr>
          <w:rFonts w:ascii="Times New Roman" w:hAnsi="Times New Roman" w:cs="Times New Roman"/>
          <w:sz w:val="24"/>
          <w:szCs w:val="24"/>
        </w:rPr>
        <w:t xml:space="preserve"> nesteroidnih protuupalnih lijekova (</w:t>
      </w:r>
      <w:r w:rsidRPr="002959A9">
        <w:rPr>
          <w:rFonts w:ascii="Times New Roman" w:hAnsi="Times New Roman" w:cs="Times New Roman"/>
          <w:sz w:val="24"/>
          <w:szCs w:val="24"/>
        </w:rPr>
        <w:t>NSAIR</w:t>
      </w:r>
      <w:r w:rsidR="0085492E" w:rsidRPr="002959A9">
        <w:rPr>
          <w:rFonts w:ascii="Times New Roman" w:hAnsi="Times New Roman" w:cs="Times New Roman"/>
          <w:sz w:val="24"/>
          <w:szCs w:val="24"/>
        </w:rPr>
        <w:t>)</w:t>
      </w:r>
      <w:r w:rsidRPr="002959A9">
        <w:rPr>
          <w:rFonts w:ascii="Times New Roman" w:hAnsi="Times New Roman" w:cs="Times New Roman"/>
          <w:sz w:val="24"/>
          <w:szCs w:val="24"/>
        </w:rPr>
        <w:t xml:space="preserve"> jer povećavaju nefrotoksičnost imunosupresiva (ciklosporin, takrolimus) i povećava se rizik za krvarenje (1, 4). Primjena antiagregacijskih lijekova (acetilsalicilna kiselina) bi se također trebala izbjegavati zbog povećanog rizika</w:t>
      </w:r>
      <w:r w:rsidR="005C23FC" w:rsidRPr="002959A9">
        <w:rPr>
          <w:rFonts w:ascii="Times New Roman" w:hAnsi="Times New Roman" w:cs="Times New Roman"/>
          <w:sz w:val="24"/>
          <w:szCs w:val="24"/>
        </w:rPr>
        <w:t xml:space="preserve"> od</w:t>
      </w:r>
      <w:r w:rsidRPr="002959A9">
        <w:rPr>
          <w:rFonts w:ascii="Times New Roman" w:hAnsi="Times New Roman" w:cs="Times New Roman"/>
          <w:sz w:val="24"/>
          <w:szCs w:val="24"/>
        </w:rPr>
        <w:t xml:space="preserve"> krvarenja (4, 8, 9, 11). Zbog potencijalne metaboličke disfunkcije postoje rizici od toksičnih reakcija (6).</w:t>
      </w:r>
      <w:r w:rsidR="00503E2D" w:rsidRPr="002959A9">
        <w:rPr>
          <w:rFonts w:ascii="Times New Roman" w:hAnsi="Times New Roman" w:cs="Times New Roman"/>
          <w:sz w:val="24"/>
          <w:szCs w:val="24"/>
        </w:rPr>
        <w:t xml:space="preserve"> </w:t>
      </w:r>
      <w:r w:rsidRPr="002959A9">
        <w:rPr>
          <w:rFonts w:ascii="Times New Roman" w:hAnsi="Times New Roman" w:cs="Times New Roman"/>
          <w:sz w:val="24"/>
          <w:szCs w:val="24"/>
        </w:rPr>
        <w:t>Pri kliničkom pregledu potrebno je razmotriti i eliminirati nuspojave lijekova (</w:t>
      </w:r>
      <w:r w:rsidR="00D22CB1" w:rsidRPr="002959A9">
        <w:rPr>
          <w:rFonts w:ascii="Times New Roman" w:hAnsi="Times New Roman" w:cs="Times New Roman"/>
          <w:sz w:val="24"/>
          <w:szCs w:val="24"/>
        </w:rPr>
        <w:t>kserostomija</w:t>
      </w:r>
      <w:r w:rsidRPr="002959A9">
        <w:rPr>
          <w:rFonts w:ascii="Times New Roman" w:hAnsi="Times New Roman" w:cs="Times New Roman"/>
          <w:sz w:val="24"/>
          <w:szCs w:val="24"/>
        </w:rPr>
        <w:t xml:space="preserve">, hiperplazija gingive, ortostatska hipotenzija, hipertenzija, hiperglikemija) te sukladno njima prilagoditi zahvat (1, 4, 8, 9, 11). </w:t>
      </w:r>
      <w:r w:rsidR="008A0376" w:rsidRPr="002959A9">
        <w:rPr>
          <w:rFonts w:ascii="Times New Roman" w:hAnsi="Times New Roman" w:cs="Times New Roman"/>
          <w:sz w:val="24"/>
          <w:szCs w:val="24"/>
        </w:rPr>
        <w:t>Ukoliko pacijent ima aktivnu leziju (purulentni parodontitis, apsces), potrebno je, u dogovoru s medicinskim timom, primijeniti antibiot</w:t>
      </w:r>
      <w:r w:rsidR="00D22CB1" w:rsidRPr="002959A9">
        <w:rPr>
          <w:rFonts w:ascii="Times New Roman" w:hAnsi="Times New Roman" w:cs="Times New Roman"/>
          <w:sz w:val="24"/>
          <w:szCs w:val="24"/>
        </w:rPr>
        <w:t>sku terapiju</w:t>
      </w:r>
      <w:r w:rsidR="008A0376" w:rsidRPr="002959A9">
        <w:rPr>
          <w:rFonts w:ascii="Times New Roman" w:hAnsi="Times New Roman" w:cs="Times New Roman"/>
          <w:sz w:val="24"/>
          <w:szCs w:val="24"/>
        </w:rPr>
        <w:t xml:space="preserve"> prije i nakon dentalnog tretmana (4, </w:t>
      </w:r>
      <w:r w:rsidR="004E0B1B" w:rsidRPr="002959A9">
        <w:rPr>
          <w:rFonts w:ascii="Times New Roman" w:hAnsi="Times New Roman" w:cs="Times New Roman"/>
          <w:sz w:val="24"/>
          <w:szCs w:val="24"/>
        </w:rPr>
        <w:t>8</w:t>
      </w:r>
      <w:r w:rsidR="008A0376" w:rsidRPr="002959A9">
        <w:rPr>
          <w:rFonts w:ascii="Times New Roman" w:hAnsi="Times New Roman" w:cs="Times New Roman"/>
          <w:sz w:val="24"/>
          <w:szCs w:val="24"/>
        </w:rPr>
        <w:t xml:space="preserve">, </w:t>
      </w:r>
      <w:r w:rsidR="004E0B1B" w:rsidRPr="002959A9">
        <w:rPr>
          <w:rFonts w:ascii="Times New Roman" w:hAnsi="Times New Roman" w:cs="Times New Roman"/>
          <w:sz w:val="24"/>
          <w:szCs w:val="24"/>
        </w:rPr>
        <w:t>9</w:t>
      </w:r>
      <w:r w:rsidR="008A0376" w:rsidRPr="002959A9">
        <w:rPr>
          <w:rFonts w:ascii="Times New Roman" w:hAnsi="Times New Roman" w:cs="Times New Roman"/>
          <w:sz w:val="24"/>
          <w:szCs w:val="24"/>
        </w:rPr>
        <w:t>).</w:t>
      </w:r>
      <w:r w:rsidR="00503E2D" w:rsidRPr="002959A9">
        <w:rPr>
          <w:rFonts w:ascii="Times New Roman" w:hAnsi="Times New Roman" w:cs="Times New Roman"/>
          <w:sz w:val="24"/>
          <w:szCs w:val="24"/>
        </w:rPr>
        <w:t xml:space="preserve"> Opasnost predstavlja i moguća interakcija lijekova (1, 4, 8, 9). </w:t>
      </w:r>
      <w:r w:rsidR="00683427" w:rsidRPr="002959A9">
        <w:rPr>
          <w:rFonts w:ascii="Times New Roman" w:hAnsi="Times New Roman" w:cs="Times New Roman"/>
          <w:sz w:val="24"/>
          <w:szCs w:val="24"/>
        </w:rPr>
        <w:t xml:space="preserve">Primjena </w:t>
      </w:r>
      <w:r w:rsidR="00D22CB1" w:rsidRPr="002959A9">
        <w:rPr>
          <w:rFonts w:ascii="Times New Roman" w:hAnsi="Times New Roman" w:cs="Times New Roman"/>
          <w:sz w:val="24"/>
          <w:szCs w:val="24"/>
        </w:rPr>
        <w:t xml:space="preserve">određenih </w:t>
      </w:r>
      <w:r w:rsidR="00683427" w:rsidRPr="002959A9">
        <w:rPr>
          <w:rFonts w:ascii="Times New Roman" w:hAnsi="Times New Roman" w:cs="Times New Roman"/>
          <w:sz w:val="24"/>
          <w:szCs w:val="24"/>
        </w:rPr>
        <w:t xml:space="preserve">antibiotika (tetraciklini, aminoglikozidi) treba biti dobro razmotrena zbog njihove potencijalne nefrotoksičnosti koja korelira s nefrotoksičnosti imunosupresiva (ciklosporin, takrolimus) (4, 8, 9). </w:t>
      </w:r>
      <w:r w:rsidR="008A0376" w:rsidRPr="002959A9">
        <w:rPr>
          <w:rFonts w:ascii="Times New Roman" w:hAnsi="Times New Roman" w:cs="Times New Roman"/>
          <w:sz w:val="24"/>
          <w:szCs w:val="24"/>
        </w:rPr>
        <w:t xml:space="preserve">Antibiotici (eritromicin, klaritromicin) i antifugalni lijekovi (ketokonazol, flukonazol, itrakonazol) su lijekovi koji mogu povećati koncentraciju ciklosporina u serumu, što dovodi do povećane imunosupresije i posljedičnih komplikacija (infekcije) (4, </w:t>
      </w:r>
      <w:r w:rsidR="004E0B1B" w:rsidRPr="002959A9">
        <w:rPr>
          <w:rFonts w:ascii="Times New Roman" w:hAnsi="Times New Roman" w:cs="Times New Roman"/>
          <w:sz w:val="24"/>
          <w:szCs w:val="24"/>
        </w:rPr>
        <w:t>9</w:t>
      </w:r>
      <w:r w:rsidR="008A0376" w:rsidRPr="002959A9">
        <w:rPr>
          <w:rFonts w:ascii="Times New Roman" w:hAnsi="Times New Roman" w:cs="Times New Roman"/>
          <w:sz w:val="24"/>
          <w:szCs w:val="24"/>
        </w:rPr>
        <w:t>,</w:t>
      </w:r>
      <w:r w:rsidR="00756197" w:rsidRPr="002959A9">
        <w:rPr>
          <w:rFonts w:ascii="Times New Roman" w:hAnsi="Times New Roman" w:cs="Times New Roman"/>
          <w:sz w:val="24"/>
          <w:szCs w:val="24"/>
        </w:rPr>
        <w:t xml:space="preserve"> </w:t>
      </w:r>
      <w:r w:rsidR="00DE4223" w:rsidRPr="002959A9">
        <w:rPr>
          <w:rFonts w:ascii="Times New Roman" w:hAnsi="Times New Roman" w:cs="Times New Roman"/>
          <w:sz w:val="24"/>
          <w:szCs w:val="24"/>
        </w:rPr>
        <w:t>10, 12</w:t>
      </w:r>
      <w:r w:rsidR="001C47B6" w:rsidRPr="002959A9">
        <w:rPr>
          <w:rFonts w:ascii="Times New Roman" w:hAnsi="Times New Roman" w:cs="Times New Roman"/>
          <w:sz w:val="24"/>
          <w:szCs w:val="24"/>
        </w:rPr>
        <w:t>)</w:t>
      </w:r>
      <w:r w:rsidR="008A0376" w:rsidRPr="002959A9">
        <w:rPr>
          <w:rFonts w:ascii="Times New Roman" w:hAnsi="Times New Roman" w:cs="Times New Roman"/>
          <w:sz w:val="24"/>
          <w:szCs w:val="24"/>
        </w:rPr>
        <w:t xml:space="preserve"> </w:t>
      </w:r>
      <w:r w:rsidR="00683427" w:rsidRPr="002959A9">
        <w:rPr>
          <w:rFonts w:ascii="Times New Roman" w:hAnsi="Times New Roman" w:cs="Times New Roman"/>
          <w:sz w:val="24"/>
          <w:szCs w:val="24"/>
        </w:rPr>
        <w:t>(</w:t>
      </w:r>
      <w:r w:rsidR="007540E9" w:rsidRPr="002959A9">
        <w:rPr>
          <w:rFonts w:ascii="Times New Roman" w:hAnsi="Times New Roman" w:cs="Times New Roman"/>
          <w:sz w:val="24"/>
          <w:szCs w:val="24"/>
        </w:rPr>
        <w:t>Tablica 2)</w:t>
      </w:r>
      <w:r w:rsidR="0085492E" w:rsidRPr="002959A9">
        <w:rPr>
          <w:rFonts w:ascii="Times New Roman" w:hAnsi="Times New Roman" w:cs="Times New Roman"/>
          <w:sz w:val="24"/>
          <w:szCs w:val="24"/>
        </w:rPr>
        <w:t>.</w:t>
      </w:r>
      <w:r w:rsidR="00683427" w:rsidRPr="002959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FD70F" w14:textId="77777777" w:rsidR="002978D7" w:rsidRPr="002959A9" w:rsidRDefault="002978D7" w:rsidP="008A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3A6A442C" w14:textId="77777777" w:rsidR="007540E9" w:rsidRPr="002959A9" w:rsidRDefault="007540E9" w:rsidP="00297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59A9">
        <w:rPr>
          <w:rFonts w:ascii="Times New Roman" w:hAnsi="Times New Roman" w:cs="Times New Roman"/>
        </w:rPr>
        <w:t xml:space="preserve">Tablica 2. </w:t>
      </w:r>
      <w:r w:rsidR="00025C02" w:rsidRPr="002959A9">
        <w:rPr>
          <w:rFonts w:ascii="Times New Roman" w:hAnsi="Times New Roman" w:cs="Times New Roman"/>
        </w:rPr>
        <w:t>Imunosupresivni lijekovi i nuspojave. Preuzeto i prerađeno iz (1).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447"/>
        <w:gridCol w:w="2522"/>
        <w:gridCol w:w="1560"/>
        <w:gridCol w:w="1842"/>
      </w:tblGrid>
      <w:tr w:rsidR="007540E9" w:rsidRPr="002959A9" w14:paraId="3A4F6438" w14:textId="77777777" w:rsidTr="009E00AD">
        <w:tc>
          <w:tcPr>
            <w:tcW w:w="1701" w:type="dxa"/>
            <w:shd w:val="clear" w:color="auto" w:fill="BDD6EE" w:themeFill="accent1" w:themeFillTint="66"/>
            <w:vAlign w:val="center"/>
          </w:tcPr>
          <w:p w14:paraId="19C63124" w14:textId="77777777" w:rsidR="007540E9" w:rsidRPr="002959A9" w:rsidRDefault="007540E9" w:rsidP="00297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9A9">
              <w:rPr>
                <w:rFonts w:ascii="Times New Roman" w:hAnsi="Times New Roman" w:cs="Times New Roman"/>
                <w:b/>
                <w:sz w:val="18"/>
                <w:szCs w:val="18"/>
              </w:rPr>
              <w:t>LIJEK</w:t>
            </w:r>
          </w:p>
        </w:tc>
        <w:tc>
          <w:tcPr>
            <w:tcW w:w="1447" w:type="dxa"/>
            <w:shd w:val="clear" w:color="auto" w:fill="BDD6EE" w:themeFill="accent1" w:themeFillTint="66"/>
            <w:vAlign w:val="center"/>
          </w:tcPr>
          <w:p w14:paraId="6357EDCB" w14:textId="77777777" w:rsidR="007540E9" w:rsidRPr="002959A9" w:rsidRDefault="007540E9" w:rsidP="00297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9A9">
              <w:rPr>
                <w:rFonts w:ascii="Times New Roman" w:hAnsi="Times New Roman" w:cs="Times New Roman"/>
                <w:b/>
                <w:sz w:val="18"/>
                <w:szCs w:val="18"/>
              </w:rPr>
              <w:t>KATEGORIJA</w:t>
            </w:r>
          </w:p>
        </w:tc>
        <w:tc>
          <w:tcPr>
            <w:tcW w:w="2522" w:type="dxa"/>
            <w:shd w:val="clear" w:color="auto" w:fill="BDD6EE" w:themeFill="accent1" w:themeFillTint="66"/>
            <w:vAlign w:val="center"/>
          </w:tcPr>
          <w:p w14:paraId="3F4A7C08" w14:textId="77777777" w:rsidR="007540E9" w:rsidRPr="002959A9" w:rsidRDefault="007540E9" w:rsidP="00297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9A9">
              <w:rPr>
                <w:rFonts w:ascii="Times New Roman" w:hAnsi="Times New Roman" w:cs="Times New Roman"/>
                <w:b/>
                <w:sz w:val="18"/>
                <w:szCs w:val="18"/>
              </w:rPr>
              <w:t>POTENCIJALNI PROBLEMI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14:paraId="27851F57" w14:textId="77777777" w:rsidR="007540E9" w:rsidRPr="002959A9" w:rsidRDefault="007540E9" w:rsidP="00297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9A9">
              <w:rPr>
                <w:rFonts w:ascii="Times New Roman" w:hAnsi="Times New Roman" w:cs="Times New Roman"/>
                <w:b/>
                <w:sz w:val="18"/>
                <w:szCs w:val="18"/>
              </w:rPr>
              <w:t>INTERAKCIJE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14:paraId="39101DAE" w14:textId="77777777" w:rsidR="007540E9" w:rsidRPr="002959A9" w:rsidRDefault="007540E9" w:rsidP="00297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9A9">
              <w:rPr>
                <w:rFonts w:ascii="Times New Roman" w:hAnsi="Times New Roman" w:cs="Times New Roman"/>
                <w:b/>
                <w:sz w:val="18"/>
                <w:szCs w:val="18"/>
              </w:rPr>
              <w:t>ORALNE MANIFESTACIJE</w:t>
            </w:r>
          </w:p>
        </w:tc>
      </w:tr>
      <w:tr w:rsidR="007540E9" w:rsidRPr="002959A9" w14:paraId="7AD01BD8" w14:textId="77777777" w:rsidTr="009E00AD">
        <w:tc>
          <w:tcPr>
            <w:tcW w:w="1701" w:type="dxa"/>
            <w:shd w:val="clear" w:color="auto" w:fill="BDD6EE" w:themeFill="accent1" w:themeFillTint="66"/>
            <w:vAlign w:val="center"/>
          </w:tcPr>
          <w:p w14:paraId="12C4812D" w14:textId="77777777" w:rsidR="007540E9" w:rsidRPr="002959A9" w:rsidRDefault="007540E9" w:rsidP="00683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9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PREDNISON </w:t>
            </w:r>
          </w:p>
          <w:p w14:paraId="179C641B" w14:textId="77777777" w:rsidR="007540E9" w:rsidRPr="002959A9" w:rsidRDefault="007540E9" w:rsidP="00683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9A9">
              <w:rPr>
                <w:rFonts w:ascii="Times New Roman" w:hAnsi="Times New Roman" w:cs="Times New Roman"/>
                <w:b/>
                <w:sz w:val="18"/>
                <w:szCs w:val="18"/>
              </w:rPr>
              <w:t>(Decortin)</w:t>
            </w:r>
          </w:p>
        </w:tc>
        <w:tc>
          <w:tcPr>
            <w:tcW w:w="1447" w:type="dxa"/>
            <w:shd w:val="clear" w:color="auto" w:fill="DEEAF6" w:themeFill="accent1" w:themeFillTint="33"/>
            <w:vAlign w:val="center"/>
          </w:tcPr>
          <w:p w14:paraId="65B92198" w14:textId="77777777" w:rsidR="007540E9" w:rsidRPr="002959A9" w:rsidRDefault="007540E9" w:rsidP="0068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9A9">
              <w:rPr>
                <w:rFonts w:ascii="Times New Roman" w:hAnsi="Times New Roman" w:cs="Times New Roman"/>
                <w:sz w:val="20"/>
                <w:szCs w:val="20"/>
              </w:rPr>
              <w:t>kortikosteroid</w:t>
            </w:r>
          </w:p>
        </w:tc>
        <w:tc>
          <w:tcPr>
            <w:tcW w:w="2522" w:type="dxa"/>
            <w:shd w:val="clear" w:color="auto" w:fill="DEEAF6" w:themeFill="accent1" w:themeFillTint="33"/>
            <w:vAlign w:val="center"/>
          </w:tcPr>
          <w:p w14:paraId="0A4AB07E" w14:textId="77777777" w:rsidR="007540E9" w:rsidRPr="002959A9" w:rsidRDefault="007540E9" w:rsidP="0068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9A9">
              <w:rPr>
                <w:rFonts w:ascii="Times New Roman" w:hAnsi="Times New Roman" w:cs="Times New Roman"/>
                <w:sz w:val="20"/>
                <w:szCs w:val="20"/>
              </w:rPr>
              <w:t>Cushing sindrom, dijabetes, hipertenzija, miopatija, osteoporoza, glaukom, avaskularna nekroza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6E61974E" w14:textId="77777777" w:rsidR="007540E9" w:rsidRPr="002959A9" w:rsidRDefault="000A3B35" w:rsidP="0068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9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540E9" w:rsidRPr="002959A9">
              <w:rPr>
                <w:rFonts w:ascii="Times New Roman" w:hAnsi="Times New Roman" w:cs="Times New Roman"/>
                <w:sz w:val="20"/>
                <w:szCs w:val="20"/>
              </w:rPr>
              <w:t>ojaćava učinak ostalih imunosupresiva (takrolimus, ciklosporin)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30F67AC1" w14:textId="77777777" w:rsidR="007540E9" w:rsidRPr="002959A9" w:rsidRDefault="000A3B35" w:rsidP="0068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9A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540E9" w:rsidRPr="002959A9">
              <w:rPr>
                <w:rFonts w:ascii="Times New Roman" w:hAnsi="Times New Roman" w:cs="Times New Roman"/>
                <w:sz w:val="20"/>
                <w:szCs w:val="20"/>
              </w:rPr>
              <w:t>ralna kandidijaza, rekurentna HSV infekcija</w:t>
            </w:r>
          </w:p>
        </w:tc>
      </w:tr>
      <w:tr w:rsidR="007540E9" w:rsidRPr="002959A9" w14:paraId="096529A1" w14:textId="77777777" w:rsidTr="009E00AD">
        <w:tc>
          <w:tcPr>
            <w:tcW w:w="1701" w:type="dxa"/>
            <w:shd w:val="clear" w:color="auto" w:fill="BDD6EE" w:themeFill="accent1" w:themeFillTint="66"/>
            <w:vAlign w:val="center"/>
          </w:tcPr>
          <w:p w14:paraId="1CC93697" w14:textId="77777777" w:rsidR="007540E9" w:rsidRPr="002959A9" w:rsidRDefault="007540E9" w:rsidP="00683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9A9">
              <w:rPr>
                <w:rFonts w:ascii="Times New Roman" w:hAnsi="Times New Roman" w:cs="Times New Roman"/>
                <w:b/>
                <w:sz w:val="18"/>
                <w:szCs w:val="18"/>
              </w:rPr>
              <w:t>CIKLOSPORIN</w:t>
            </w:r>
          </w:p>
        </w:tc>
        <w:tc>
          <w:tcPr>
            <w:tcW w:w="1447" w:type="dxa"/>
            <w:shd w:val="clear" w:color="auto" w:fill="DEEAF6" w:themeFill="accent1" w:themeFillTint="33"/>
            <w:vAlign w:val="center"/>
          </w:tcPr>
          <w:p w14:paraId="6E4001EA" w14:textId="77777777" w:rsidR="007540E9" w:rsidRPr="002959A9" w:rsidRDefault="007540E9" w:rsidP="0068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9A9">
              <w:rPr>
                <w:rFonts w:ascii="Times New Roman" w:hAnsi="Times New Roman" w:cs="Times New Roman"/>
                <w:sz w:val="20"/>
                <w:szCs w:val="20"/>
              </w:rPr>
              <w:t>Ca inhibitor</w:t>
            </w:r>
          </w:p>
        </w:tc>
        <w:tc>
          <w:tcPr>
            <w:tcW w:w="2522" w:type="dxa"/>
            <w:shd w:val="clear" w:color="auto" w:fill="DEEAF6" w:themeFill="accent1" w:themeFillTint="33"/>
            <w:vAlign w:val="center"/>
          </w:tcPr>
          <w:p w14:paraId="28965DA7" w14:textId="77777777" w:rsidR="007540E9" w:rsidRPr="002959A9" w:rsidRDefault="000A3B35" w:rsidP="0068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9A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7540E9" w:rsidRPr="002959A9">
              <w:rPr>
                <w:rFonts w:ascii="Times New Roman" w:hAnsi="Times New Roman" w:cs="Times New Roman"/>
                <w:sz w:val="20"/>
                <w:szCs w:val="20"/>
              </w:rPr>
              <w:t>ipertenzija, nefrotoksičnost, tremor, disbalans elektrolita (K, Mg)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2B939C05" w14:textId="77777777" w:rsidR="007540E9" w:rsidRPr="002959A9" w:rsidRDefault="007540E9" w:rsidP="0068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9A9">
              <w:rPr>
                <w:rFonts w:ascii="Times New Roman" w:hAnsi="Times New Roman" w:cs="Times New Roman"/>
                <w:sz w:val="20"/>
                <w:szCs w:val="20"/>
              </w:rPr>
              <w:t xml:space="preserve">Flukonazol 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58D5492D" w14:textId="77777777" w:rsidR="007540E9" w:rsidRPr="002959A9" w:rsidRDefault="000A3B35" w:rsidP="0068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9A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7540E9" w:rsidRPr="002959A9">
              <w:rPr>
                <w:rFonts w:ascii="Times New Roman" w:hAnsi="Times New Roman" w:cs="Times New Roman"/>
                <w:sz w:val="20"/>
                <w:szCs w:val="20"/>
              </w:rPr>
              <w:t>iperplazija gingive</w:t>
            </w:r>
          </w:p>
        </w:tc>
      </w:tr>
      <w:tr w:rsidR="007540E9" w:rsidRPr="002959A9" w14:paraId="77D15B71" w14:textId="77777777" w:rsidTr="009E00AD">
        <w:tc>
          <w:tcPr>
            <w:tcW w:w="1701" w:type="dxa"/>
            <w:shd w:val="clear" w:color="auto" w:fill="BDD6EE" w:themeFill="accent1" w:themeFillTint="66"/>
            <w:vAlign w:val="center"/>
          </w:tcPr>
          <w:p w14:paraId="08FAB6A5" w14:textId="77777777" w:rsidR="007540E9" w:rsidRPr="002959A9" w:rsidRDefault="007540E9" w:rsidP="00683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9A9">
              <w:rPr>
                <w:rFonts w:ascii="Times New Roman" w:hAnsi="Times New Roman" w:cs="Times New Roman"/>
                <w:b/>
                <w:sz w:val="18"/>
                <w:szCs w:val="18"/>
              </w:rPr>
              <w:t>TAKROLIMUS</w:t>
            </w:r>
          </w:p>
        </w:tc>
        <w:tc>
          <w:tcPr>
            <w:tcW w:w="1447" w:type="dxa"/>
            <w:shd w:val="clear" w:color="auto" w:fill="DEEAF6" w:themeFill="accent1" w:themeFillTint="33"/>
            <w:vAlign w:val="center"/>
          </w:tcPr>
          <w:p w14:paraId="153D916A" w14:textId="77777777" w:rsidR="007540E9" w:rsidRPr="002959A9" w:rsidRDefault="007540E9" w:rsidP="0068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9A9">
              <w:rPr>
                <w:rFonts w:ascii="Times New Roman" w:hAnsi="Times New Roman" w:cs="Times New Roman"/>
                <w:sz w:val="20"/>
                <w:szCs w:val="20"/>
              </w:rPr>
              <w:t>Ca inhibitor</w:t>
            </w:r>
          </w:p>
        </w:tc>
        <w:tc>
          <w:tcPr>
            <w:tcW w:w="2522" w:type="dxa"/>
            <w:shd w:val="clear" w:color="auto" w:fill="DEEAF6" w:themeFill="accent1" w:themeFillTint="33"/>
            <w:vAlign w:val="center"/>
          </w:tcPr>
          <w:p w14:paraId="76004F32" w14:textId="77777777" w:rsidR="007540E9" w:rsidRPr="002959A9" w:rsidRDefault="000A3B35" w:rsidP="0068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9A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7540E9" w:rsidRPr="002959A9">
              <w:rPr>
                <w:rFonts w:ascii="Times New Roman" w:hAnsi="Times New Roman" w:cs="Times New Roman"/>
                <w:sz w:val="20"/>
                <w:szCs w:val="20"/>
              </w:rPr>
              <w:t>ipertenzija, hepatotoksičnost,mijelosupresija, porast konc.glukoze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04EB1A24" w14:textId="77777777" w:rsidR="007540E9" w:rsidRPr="002959A9" w:rsidRDefault="007540E9" w:rsidP="0068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9A9">
              <w:rPr>
                <w:rFonts w:ascii="Times New Roman" w:hAnsi="Times New Roman" w:cs="Times New Roman"/>
                <w:sz w:val="20"/>
                <w:szCs w:val="20"/>
              </w:rPr>
              <w:t>Flukonazol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4A569CFC" w14:textId="77777777" w:rsidR="007540E9" w:rsidRPr="002959A9" w:rsidRDefault="000A3B35" w:rsidP="0068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9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540E9" w:rsidRPr="002959A9">
              <w:rPr>
                <w:rFonts w:ascii="Times New Roman" w:hAnsi="Times New Roman" w:cs="Times New Roman"/>
                <w:sz w:val="20"/>
                <w:szCs w:val="20"/>
              </w:rPr>
              <w:t>iogeni granulom</w:t>
            </w:r>
          </w:p>
        </w:tc>
      </w:tr>
      <w:tr w:rsidR="007540E9" w:rsidRPr="002959A9" w14:paraId="31093370" w14:textId="77777777" w:rsidTr="009E00AD">
        <w:tc>
          <w:tcPr>
            <w:tcW w:w="1701" w:type="dxa"/>
            <w:shd w:val="clear" w:color="auto" w:fill="BDD6EE" w:themeFill="accent1" w:themeFillTint="66"/>
            <w:vAlign w:val="center"/>
          </w:tcPr>
          <w:p w14:paraId="35ADED78" w14:textId="77777777" w:rsidR="007540E9" w:rsidRPr="002959A9" w:rsidRDefault="007540E9" w:rsidP="00683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9A9">
              <w:rPr>
                <w:rFonts w:ascii="Times New Roman" w:hAnsi="Times New Roman" w:cs="Times New Roman"/>
                <w:b/>
                <w:sz w:val="18"/>
                <w:szCs w:val="18"/>
              </w:rPr>
              <w:t>AZATIOPRIN</w:t>
            </w:r>
          </w:p>
        </w:tc>
        <w:tc>
          <w:tcPr>
            <w:tcW w:w="1447" w:type="dxa"/>
            <w:shd w:val="clear" w:color="auto" w:fill="DEEAF6" w:themeFill="accent1" w:themeFillTint="33"/>
            <w:vAlign w:val="center"/>
          </w:tcPr>
          <w:p w14:paraId="6C7BF254" w14:textId="77777777" w:rsidR="007540E9" w:rsidRPr="002959A9" w:rsidRDefault="000A3B35" w:rsidP="0068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9A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540E9" w:rsidRPr="002959A9">
              <w:rPr>
                <w:rFonts w:ascii="Times New Roman" w:hAnsi="Times New Roman" w:cs="Times New Roman"/>
                <w:sz w:val="20"/>
                <w:szCs w:val="20"/>
              </w:rPr>
              <w:t>ukleozidni inhibitor</w:t>
            </w:r>
          </w:p>
        </w:tc>
        <w:tc>
          <w:tcPr>
            <w:tcW w:w="2522" w:type="dxa"/>
            <w:shd w:val="clear" w:color="auto" w:fill="DEEAF6" w:themeFill="accent1" w:themeFillTint="33"/>
            <w:vAlign w:val="center"/>
          </w:tcPr>
          <w:p w14:paraId="6A0C6345" w14:textId="77777777" w:rsidR="007540E9" w:rsidRPr="002959A9" w:rsidRDefault="000A3B35" w:rsidP="0068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9A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540E9" w:rsidRPr="002959A9">
              <w:rPr>
                <w:rFonts w:ascii="Times New Roman" w:hAnsi="Times New Roman" w:cs="Times New Roman"/>
                <w:sz w:val="20"/>
                <w:szCs w:val="20"/>
              </w:rPr>
              <w:t>eukopenija, mijelosupresija, hepatotoksičnost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7849377D" w14:textId="77777777" w:rsidR="007540E9" w:rsidRPr="002959A9" w:rsidRDefault="007540E9" w:rsidP="00683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2BE2A60E" w14:textId="77777777" w:rsidR="007540E9" w:rsidRPr="002959A9" w:rsidRDefault="007540E9" w:rsidP="00683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0E9" w:rsidRPr="002959A9" w14:paraId="0704D397" w14:textId="77777777" w:rsidTr="009E00AD">
        <w:tc>
          <w:tcPr>
            <w:tcW w:w="1701" w:type="dxa"/>
            <w:shd w:val="clear" w:color="auto" w:fill="BDD6EE" w:themeFill="accent1" w:themeFillTint="66"/>
            <w:vAlign w:val="center"/>
          </w:tcPr>
          <w:p w14:paraId="49072D0C" w14:textId="77777777" w:rsidR="007540E9" w:rsidRPr="002959A9" w:rsidRDefault="007540E9" w:rsidP="00683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9A9">
              <w:rPr>
                <w:rFonts w:ascii="Times New Roman" w:hAnsi="Times New Roman" w:cs="Times New Roman"/>
                <w:b/>
                <w:sz w:val="18"/>
                <w:szCs w:val="18"/>
              </w:rPr>
              <w:t>MIKOFENOLAT</w:t>
            </w:r>
          </w:p>
        </w:tc>
        <w:tc>
          <w:tcPr>
            <w:tcW w:w="1447" w:type="dxa"/>
            <w:shd w:val="clear" w:color="auto" w:fill="DEEAF6" w:themeFill="accent1" w:themeFillTint="33"/>
            <w:vAlign w:val="center"/>
          </w:tcPr>
          <w:p w14:paraId="33580BA3" w14:textId="77777777" w:rsidR="007540E9" w:rsidRPr="002959A9" w:rsidRDefault="000A3B35" w:rsidP="0068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9A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540E9" w:rsidRPr="002959A9">
              <w:rPr>
                <w:rFonts w:ascii="Times New Roman" w:hAnsi="Times New Roman" w:cs="Times New Roman"/>
                <w:sz w:val="20"/>
                <w:szCs w:val="20"/>
              </w:rPr>
              <w:t>ukleozidni inhibitor</w:t>
            </w:r>
          </w:p>
        </w:tc>
        <w:tc>
          <w:tcPr>
            <w:tcW w:w="2522" w:type="dxa"/>
            <w:shd w:val="clear" w:color="auto" w:fill="DEEAF6" w:themeFill="accent1" w:themeFillTint="33"/>
            <w:vAlign w:val="center"/>
          </w:tcPr>
          <w:p w14:paraId="53C343BB" w14:textId="77777777" w:rsidR="007540E9" w:rsidRPr="002959A9" w:rsidRDefault="000A3B35" w:rsidP="0068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9A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7540E9" w:rsidRPr="002959A9">
              <w:rPr>
                <w:rFonts w:ascii="Times New Roman" w:hAnsi="Times New Roman" w:cs="Times New Roman"/>
                <w:sz w:val="20"/>
                <w:szCs w:val="20"/>
              </w:rPr>
              <w:t>ipertenzija, anemija, leukopenija, dijareja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050A3CC5" w14:textId="77777777" w:rsidR="007540E9" w:rsidRPr="002959A9" w:rsidRDefault="007540E9" w:rsidP="00683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74CA1141" w14:textId="77777777" w:rsidR="007540E9" w:rsidRPr="002959A9" w:rsidRDefault="007540E9" w:rsidP="00683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0E9" w:rsidRPr="002959A9" w14:paraId="21F259AF" w14:textId="77777777" w:rsidTr="009E00AD">
        <w:tc>
          <w:tcPr>
            <w:tcW w:w="1701" w:type="dxa"/>
            <w:shd w:val="clear" w:color="auto" w:fill="BDD6EE" w:themeFill="accent1" w:themeFillTint="66"/>
            <w:vAlign w:val="center"/>
          </w:tcPr>
          <w:p w14:paraId="5F360DC3" w14:textId="77777777" w:rsidR="007540E9" w:rsidRPr="002959A9" w:rsidRDefault="007540E9" w:rsidP="00683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9A9">
              <w:rPr>
                <w:rFonts w:ascii="Times New Roman" w:hAnsi="Times New Roman" w:cs="Times New Roman"/>
                <w:b/>
                <w:sz w:val="18"/>
                <w:szCs w:val="18"/>
              </w:rPr>
              <w:t>SIROLIMUS</w:t>
            </w:r>
          </w:p>
        </w:tc>
        <w:tc>
          <w:tcPr>
            <w:tcW w:w="1447" w:type="dxa"/>
            <w:shd w:val="clear" w:color="auto" w:fill="DEEAF6" w:themeFill="accent1" w:themeFillTint="33"/>
            <w:vAlign w:val="center"/>
          </w:tcPr>
          <w:p w14:paraId="37BADDBD" w14:textId="77777777" w:rsidR="007540E9" w:rsidRPr="002959A9" w:rsidRDefault="007540E9" w:rsidP="0068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9A9">
              <w:rPr>
                <w:rFonts w:ascii="Times New Roman" w:hAnsi="Times New Roman" w:cs="Times New Roman"/>
                <w:sz w:val="20"/>
                <w:szCs w:val="20"/>
              </w:rPr>
              <w:t xml:space="preserve"> mTOR inhibitor</w:t>
            </w:r>
          </w:p>
        </w:tc>
        <w:tc>
          <w:tcPr>
            <w:tcW w:w="2522" w:type="dxa"/>
            <w:shd w:val="clear" w:color="auto" w:fill="DEEAF6" w:themeFill="accent1" w:themeFillTint="33"/>
            <w:vAlign w:val="center"/>
          </w:tcPr>
          <w:p w14:paraId="16D964B8" w14:textId="77777777" w:rsidR="007540E9" w:rsidRPr="002959A9" w:rsidRDefault="000A3B35" w:rsidP="0068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9A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7540E9" w:rsidRPr="002959A9">
              <w:rPr>
                <w:rFonts w:ascii="Times New Roman" w:hAnsi="Times New Roman" w:cs="Times New Roman"/>
                <w:sz w:val="20"/>
                <w:szCs w:val="20"/>
              </w:rPr>
              <w:t>iperlipidemija, dijabetes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2CF99E24" w14:textId="77777777" w:rsidR="007540E9" w:rsidRPr="002959A9" w:rsidRDefault="007540E9" w:rsidP="0068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9A9">
              <w:rPr>
                <w:rFonts w:ascii="Times New Roman" w:hAnsi="Times New Roman" w:cs="Times New Roman"/>
                <w:sz w:val="20"/>
                <w:szCs w:val="20"/>
              </w:rPr>
              <w:t>Flukonazol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7F34A6DD" w14:textId="77777777" w:rsidR="007540E9" w:rsidRPr="002959A9" w:rsidRDefault="000A3B35" w:rsidP="0068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9A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540E9" w:rsidRPr="002959A9">
              <w:rPr>
                <w:rFonts w:ascii="Times New Roman" w:hAnsi="Times New Roman" w:cs="Times New Roman"/>
                <w:sz w:val="20"/>
                <w:szCs w:val="20"/>
              </w:rPr>
              <w:t>ftozne ulceracije</w:t>
            </w:r>
          </w:p>
        </w:tc>
      </w:tr>
      <w:tr w:rsidR="007540E9" w:rsidRPr="002959A9" w14:paraId="403DC9AF" w14:textId="77777777" w:rsidTr="009E00AD">
        <w:tc>
          <w:tcPr>
            <w:tcW w:w="1701" w:type="dxa"/>
            <w:shd w:val="clear" w:color="auto" w:fill="BDD6EE" w:themeFill="accent1" w:themeFillTint="66"/>
            <w:vAlign w:val="center"/>
          </w:tcPr>
          <w:p w14:paraId="6967498A" w14:textId="77777777" w:rsidR="007540E9" w:rsidRPr="002959A9" w:rsidRDefault="007540E9" w:rsidP="00683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9A9">
              <w:rPr>
                <w:rFonts w:ascii="Times New Roman" w:hAnsi="Times New Roman" w:cs="Times New Roman"/>
                <w:b/>
                <w:sz w:val="18"/>
                <w:szCs w:val="18"/>
              </w:rPr>
              <w:t>EVEROLIMUS</w:t>
            </w:r>
          </w:p>
        </w:tc>
        <w:tc>
          <w:tcPr>
            <w:tcW w:w="1447" w:type="dxa"/>
            <w:shd w:val="clear" w:color="auto" w:fill="DEEAF6" w:themeFill="accent1" w:themeFillTint="33"/>
            <w:vAlign w:val="center"/>
          </w:tcPr>
          <w:p w14:paraId="3A7D3176" w14:textId="77777777" w:rsidR="007540E9" w:rsidRPr="002959A9" w:rsidRDefault="007540E9" w:rsidP="0068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9A9">
              <w:rPr>
                <w:rFonts w:ascii="Times New Roman" w:hAnsi="Times New Roman" w:cs="Times New Roman"/>
                <w:sz w:val="20"/>
                <w:szCs w:val="20"/>
              </w:rPr>
              <w:t>mTOR inhibitor</w:t>
            </w:r>
          </w:p>
        </w:tc>
        <w:tc>
          <w:tcPr>
            <w:tcW w:w="2522" w:type="dxa"/>
            <w:shd w:val="clear" w:color="auto" w:fill="DEEAF6" w:themeFill="accent1" w:themeFillTint="33"/>
            <w:vAlign w:val="center"/>
          </w:tcPr>
          <w:p w14:paraId="6FDF5F25" w14:textId="77777777" w:rsidR="007540E9" w:rsidRPr="002959A9" w:rsidRDefault="000A3B35" w:rsidP="0068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9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540E9" w:rsidRPr="002959A9">
              <w:rPr>
                <w:rFonts w:ascii="Times New Roman" w:hAnsi="Times New Roman" w:cs="Times New Roman"/>
                <w:sz w:val="20"/>
                <w:szCs w:val="20"/>
              </w:rPr>
              <w:t xml:space="preserve">orast lipida i glukoze u krvi 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67520221" w14:textId="77777777" w:rsidR="007540E9" w:rsidRPr="002959A9" w:rsidRDefault="007540E9" w:rsidP="0068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9A9">
              <w:rPr>
                <w:rFonts w:ascii="Times New Roman" w:hAnsi="Times New Roman" w:cs="Times New Roman"/>
                <w:sz w:val="20"/>
                <w:szCs w:val="20"/>
              </w:rPr>
              <w:t>Flukonazol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50289736" w14:textId="77777777" w:rsidR="007540E9" w:rsidRPr="002959A9" w:rsidRDefault="000A3B35" w:rsidP="0068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9A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540E9" w:rsidRPr="002959A9">
              <w:rPr>
                <w:rFonts w:ascii="Times New Roman" w:hAnsi="Times New Roman" w:cs="Times New Roman"/>
                <w:sz w:val="20"/>
                <w:szCs w:val="20"/>
              </w:rPr>
              <w:t>ftozne ulceracije</w:t>
            </w:r>
          </w:p>
        </w:tc>
      </w:tr>
    </w:tbl>
    <w:p w14:paraId="1D6F1AF7" w14:textId="77777777" w:rsidR="003B1401" w:rsidRPr="002959A9" w:rsidRDefault="008A0376" w:rsidP="008A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A9">
        <w:rPr>
          <w:rFonts w:ascii="Times New Roman" w:hAnsi="Times New Roman" w:cs="Times New Roman"/>
          <w:sz w:val="24"/>
          <w:szCs w:val="24"/>
        </w:rPr>
        <w:lastRenderedPageBreak/>
        <w:t>S obzirom na organ koji se planira transplantirati postoje specifičnosti koje bi se</w:t>
      </w:r>
      <w:r w:rsidR="00C00C3C" w:rsidRPr="002959A9">
        <w:rPr>
          <w:rFonts w:ascii="Times New Roman" w:hAnsi="Times New Roman" w:cs="Times New Roman"/>
          <w:sz w:val="24"/>
          <w:szCs w:val="24"/>
        </w:rPr>
        <w:t xml:space="preserve"> trebale razmotriti (1, 3, 4). </w:t>
      </w:r>
      <w:r w:rsidRPr="002959A9">
        <w:rPr>
          <w:rFonts w:ascii="Times New Roman" w:hAnsi="Times New Roman" w:cs="Times New Roman"/>
          <w:sz w:val="24"/>
          <w:szCs w:val="24"/>
        </w:rPr>
        <w:t xml:space="preserve">Plućni bolesnici često koriste terapiju kisikom te se tijekom dentalnog liječenja treba izbjegavati upotreba zapaljivih proizvoda i administracija opioidnih analgetika koji mogu povećati rizik od respiratorne depresije (4). Prije transplantacije jetre osim već opisanog rizika od krvarenja, trebamo biti pažljivi s primjenom lijekova koji se metaboliziraju u jetri (4, </w:t>
      </w:r>
      <w:r w:rsidR="008612D2" w:rsidRPr="002959A9">
        <w:rPr>
          <w:rFonts w:ascii="Times New Roman" w:hAnsi="Times New Roman" w:cs="Times New Roman"/>
          <w:sz w:val="24"/>
          <w:szCs w:val="24"/>
        </w:rPr>
        <w:t>9</w:t>
      </w:r>
      <w:r w:rsidRPr="002959A9">
        <w:rPr>
          <w:rFonts w:ascii="Times New Roman" w:hAnsi="Times New Roman" w:cs="Times New Roman"/>
          <w:sz w:val="24"/>
          <w:szCs w:val="24"/>
        </w:rPr>
        <w:t>).</w:t>
      </w:r>
      <w:r w:rsidR="008612D2" w:rsidRPr="002959A9">
        <w:rPr>
          <w:rFonts w:ascii="Times New Roman" w:hAnsi="Times New Roman" w:cs="Times New Roman"/>
          <w:sz w:val="24"/>
          <w:szCs w:val="24"/>
        </w:rPr>
        <w:t xml:space="preserve"> </w:t>
      </w:r>
      <w:r w:rsidRPr="002959A9">
        <w:rPr>
          <w:rFonts w:ascii="Times New Roman" w:hAnsi="Times New Roman" w:cs="Times New Roman"/>
          <w:sz w:val="24"/>
          <w:szCs w:val="24"/>
        </w:rPr>
        <w:t>Lokalna anestezija s vazokonstriktorom (lidokain, prilokain, mepivakain i bupivakain) se može koristiti, a pri tome se ne smije pri</w:t>
      </w:r>
      <w:r w:rsidR="00C00C3C" w:rsidRPr="002959A9">
        <w:rPr>
          <w:rFonts w:ascii="Times New Roman" w:hAnsi="Times New Roman" w:cs="Times New Roman"/>
          <w:sz w:val="24"/>
          <w:szCs w:val="24"/>
        </w:rPr>
        <w:t>jeći ukupna doza od 7mg/kg (4).</w:t>
      </w:r>
      <w:r w:rsidRPr="002959A9">
        <w:rPr>
          <w:rFonts w:ascii="Times New Roman" w:hAnsi="Times New Roman" w:cs="Times New Roman"/>
          <w:sz w:val="24"/>
          <w:szCs w:val="24"/>
        </w:rPr>
        <w:t xml:space="preserve"> Iako se lidokain 90% metabolizira u jetri, zbog njegove brze distribucije, on je relativno siguran. Naime</w:t>
      </w:r>
      <w:r w:rsidR="00D22CB1" w:rsidRPr="002959A9">
        <w:rPr>
          <w:rFonts w:ascii="Times New Roman" w:hAnsi="Times New Roman" w:cs="Times New Roman"/>
          <w:sz w:val="24"/>
          <w:szCs w:val="24"/>
        </w:rPr>
        <w:t>,</w:t>
      </w:r>
      <w:r w:rsidRPr="002959A9">
        <w:rPr>
          <w:rFonts w:ascii="Times New Roman" w:hAnsi="Times New Roman" w:cs="Times New Roman"/>
          <w:sz w:val="24"/>
          <w:szCs w:val="24"/>
        </w:rPr>
        <w:t xml:space="preserve"> nakon aplikacije jedne doze koncentracija u serumu je samo 6% (</w:t>
      </w:r>
      <w:r w:rsidR="008612D2" w:rsidRPr="002959A9">
        <w:rPr>
          <w:rFonts w:ascii="Times New Roman" w:hAnsi="Times New Roman" w:cs="Times New Roman"/>
          <w:sz w:val="24"/>
          <w:szCs w:val="24"/>
        </w:rPr>
        <w:t>9</w:t>
      </w:r>
      <w:r w:rsidRPr="002959A9">
        <w:rPr>
          <w:rFonts w:ascii="Times New Roman" w:hAnsi="Times New Roman" w:cs="Times New Roman"/>
          <w:sz w:val="24"/>
          <w:szCs w:val="24"/>
        </w:rPr>
        <w:t>). S obzirom na analgetsku terapiju, kod jetrenih bolesnika treba izbjegavati NSAIR (ibuprofen), a paracetamol se ne smije koristiti duže od 2 tj</w:t>
      </w:r>
      <w:r w:rsidR="00D22CB1" w:rsidRPr="002959A9">
        <w:rPr>
          <w:rFonts w:ascii="Times New Roman" w:hAnsi="Times New Roman" w:cs="Times New Roman"/>
          <w:sz w:val="24"/>
          <w:szCs w:val="24"/>
        </w:rPr>
        <w:t>edna</w:t>
      </w:r>
      <w:r w:rsidRPr="002959A9">
        <w:rPr>
          <w:rFonts w:ascii="Times New Roman" w:hAnsi="Times New Roman" w:cs="Times New Roman"/>
          <w:sz w:val="24"/>
          <w:szCs w:val="24"/>
        </w:rPr>
        <w:t xml:space="preserve"> (4, </w:t>
      </w:r>
      <w:r w:rsidR="008612D2" w:rsidRPr="002959A9">
        <w:rPr>
          <w:rFonts w:ascii="Times New Roman" w:hAnsi="Times New Roman" w:cs="Times New Roman"/>
          <w:sz w:val="24"/>
          <w:szCs w:val="24"/>
        </w:rPr>
        <w:t>9</w:t>
      </w:r>
      <w:r w:rsidRPr="002959A9">
        <w:rPr>
          <w:rFonts w:ascii="Times New Roman" w:hAnsi="Times New Roman" w:cs="Times New Roman"/>
          <w:sz w:val="24"/>
          <w:szCs w:val="24"/>
        </w:rPr>
        <w:t xml:space="preserve">). Iako je metabolizam NSAIR-a i acetilsalicilne kiseline kod ovakvih pacijenata normalan, takvi pacijenti imaju smanjenu koncentraciju proteina (albumini) u serumu te posljedično imamo više slobodnog lijeka </w:t>
      </w:r>
      <w:r w:rsidR="00594516" w:rsidRPr="002959A9">
        <w:rPr>
          <w:rFonts w:ascii="Times New Roman" w:hAnsi="Times New Roman" w:cs="Times New Roman"/>
          <w:sz w:val="24"/>
          <w:szCs w:val="24"/>
        </w:rPr>
        <w:t xml:space="preserve">u plazmi </w:t>
      </w:r>
      <w:r w:rsidRPr="002959A9">
        <w:rPr>
          <w:rFonts w:ascii="Times New Roman" w:hAnsi="Times New Roman" w:cs="Times New Roman"/>
          <w:sz w:val="24"/>
          <w:szCs w:val="24"/>
        </w:rPr>
        <w:t>(</w:t>
      </w:r>
      <w:r w:rsidR="00594516" w:rsidRPr="002959A9">
        <w:rPr>
          <w:rFonts w:ascii="Times New Roman" w:hAnsi="Times New Roman" w:cs="Times New Roman"/>
          <w:sz w:val="24"/>
          <w:szCs w:val="24"/>
        </w:rPr>
        <w:t>9</w:t>
      </w:r>
      <w:r w:rsidRPr="002959A9">
        <w:rPr>
          <w:rFonts w:ascii="Times New Roman" w:hAnsi="Times New Roman" w:cs="Times New Roman"/>
          <w:sz w:val="24"/>
          <w:szCs w:val="24"/>
        </w:rPr>
        <w:t>). Preporuka je koristiti opioidne analgetike koji se ne metaboliziraju u jetri (4).</w:t>
      </w:r>
      <w:r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Smanjenjem funkcije bubrega </w:t>
      </w:r>
      <w:r w:rsidRPr="002959A9">
        <w:rPr>
          <w:rFonts w:ascii="Times New Roman" w:hAnsi="Times New Roman" w:cs="Times New Roman"/>
          <w:sz w:val="24"/>
          <w:szCs w:val="24"/>
        </w:rPr>
        <w:t>može se produžiti poluvrijeme eliminacije nekih lijekova u plazmi te povećati mogućnost toksičnih reakcija</w:t>
      </w:r>
      <w:r w:rsidR="00594516" w:rsidRPr="002959A9">
        <w:rPr>
          <w:rFonts w:ascii="Times New Roman" w:hAnsi="Times New Roman" w:cs="Times New Roman"/>
          <w:sz w:val="24"/>
          <w:szCs w:val="24"/>
        </w:rPr>
        <w:t xml:space="preserve"> (4, 8)</w:t>
      </w:r>
      <w:r w:rsidRPr="002959A9">
        <w:rPr>
          <w:rFonts w:ascii="Times New Roman" w:hAnsi="Times New Roman" w:cs="Times New Roman"/>
          <w:sz w:val="24"/>
          <w:szCs w:val="24"/>
        </w:rPr>
        <w:t>.</w:t>
      </w:r>
      <w:r w:rsidR="00594516" w:rsidRPr="002959A9">
        <w:rPr>
          <w:rFonts w:ascii="Times New Roman" w:hAnsi="Times New Roman" w:cs="Times New Roman"/>
          <w:sz w:val="24"/>
          <w:szCs w:val="24"/>
        </w:rPr>
        <w:t xml:space="preserve"> </w:t>
      </w:r>
      <w:r w:rsidRPr="002959A9">
        <w:rPr>
          <w:rFonts w:ascii="Times New Roman" w:hAnsi="Times New Roman" w:cs="Times New Roman"/>
          <w:sz w:val="24"/>
          <w:szCs w:val="24"/>
        </w:rPr>
        <w:t xml:space="preserve">Prije stomatološkog tretmana potrebna je konzultacija s nefrologom koji će procijeniti funkciju bubrega (glomerularna filtracija) i odrediti doze lijekova. Za kupiranje bolova preporuka je koristiti paracetamol (4, </w:t>
      </w:r>
      <w:r w:rsidR="00594516" w:rsidRPr="002959A9">
        <w:rPr>
          <w:rFonts w:ascii="Times New Roman" w:hAnsi="Times New Roman" w:cs="Times New Roman"/>
          <w:sz w:val="24"/>
          <w:szCs w:val="24"/>
        </w:rPr>
        <w:t>8</w:t>
      </w:r>
      <w:r w:rsidRPr="002959A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A6A27C8" w14:textId="77777777" w:rsidR="00DE4223" w:rsidRPr="002959A9" w:rsidRDefault="00DE4223" w:rsidP="003B1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50A62" w14:textId="77777777" w:rsidR="003B1401" w:rsidRPr="002959A9" w:rsidRDefault="003B1401" w:rsidP="003B1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A9">
        <w:rPr>
          <w:rFonts w:ascii="Times New Roman" w:hAnsi="Times New Roman" w:cs="Times New Roman"/>
          <w:sz w:val="24"/>
          <w:szCs w:val="24"/>
        </w:rPr>
        <w:t xml:space="preserve">POSTTRANSPLANTACIJSKI PERIOD </w:t>
      </w:r>
    </w:p>
    <w:p w14:paraId="3BEC2C91" w14:textId="77777777" w:rsidR="00A545EE" w:rsidRPr="002959A9" w:rsidRDefault="003B1401" w:rsidP="003B1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A9">
        <w:rPr>
          <w:rFonts w:ascii="Times New Roman" w:hAnsi="Times New Roman" w:cs="Times New Roman"/>
          <w:sz w:val="24"/>
          <w:szCs w:val="24"/>
        </w:rPr>
        <w:t xml:space="preserve">Nakon transplantacije organa razlikujemo imedijatan (&lt;6mj.) i stabilan posttransplantacijski period (1 ,2, 4, </w:t>
      </w:r>
      <w:r w:rsidR="00DE4223" w:rsidRPr="002959A9">
        <w:rPr>
          <w:rFonts w:ascii="Times New Roman" w:hAnsi="Times New Roman" w:cs="Times New Roman"/>
          <w:sz w:val="24"/>
          <w:szCs w:val="24"/>
        </w:rPr>
        <w:t>7</w:t>
      </w:r>
      <w:r w:rsidRPr="002959A9">
        <w:rPr>
          <w:rFonts w:ascii="Times New Roman" w:hAnsi="Times New Roman" w:cs="Times New Roman"/>
          <w:sz w:val="24"/>
          <w:szCs w:val="24"/>
        </w:rPr>
        <w:t xml:space="preserve">, </w:t>
      </w:r>
      <w:r w:rsidR="00DE4223" w:rsidRPr="002959A9">
        <w:rPr>
          <w:rFonts w:ascii="Times New Roman" w:hAnsi="Times New Roman" w:cs="Times New Roman"/>
          <w:sz w:val="24"/>
          <w:szCs w:val="24"/>
        </w:rPr>
        <w:t>8</w:t>
      </w:r>
      <w:r w:rsidRPr="002959A9">
        <w:rPr>
          <w:rFonts w:ascii="Times New Roman" w:hAnsi="Times New Roman" w:cs="Times New Roman"/>
          <w:sz w:val="24"/>
          <w:szCs w:val="24"/>
        </w:rPr>
        <w:t>). Dentalni zahvati trebaju biti prilagođeni trenutnom stanju pacijenta te se uvijek treba konzultirati s transplantacijskim timom (1, 2, 4). Prvih 6mj</w:t>
      </w:r>
      <w:r w:rsidR="00D22CB1" w:rsidRPr="002959A9">
        <w:rPr>
          <w:rFonts w:ascii="Times New Roman" w:hAnsi="Times New Roman" w:cs="Times New Roman"/>
          <w:sz w:val="24"/>
          <w:szCs w:val="24"/>
        </w:rPr>
        <w:t xml:space="preserve">eseci </w:t>
      </w:r>
      <w:r w:rsidRPr="002959A9">
        <w:rPr>
          <w:rFonts w:ascii="Times New Roman" w:hAnsi="Times New Roman" w:cs="Times New Roman"/>
          <w:sz w:val="24"/>
          <w:szCs w:val="24"/>
        </w:rPr>
        <w:t>nakon transplantacije (imedijatni period) smatramo najkritičnijim razdobljem (4).</w:t>
      </w:r>
      <w:r w:rsidR="001B2D7E" w:rsidRPr="002959A9">
        <w:rPr>
          <w:rFonts w:ascii="Times New Roman" w:eastAsia="Times New Roman" w:hAnsi="Times New Roman" w:cs="Times New Roman"/>
          <w:sz w:val="24"/>
          <w:szCs w:val="24"/>
        </w:rPr>
        <w:t xml:space="preserve"> Zbog prevencije i suzbijanja akutne reakcije odbacivanja u ovom periodu </w:t>
      </w:r>
      <w:r w:rsidR="0077363D" w:rsidRPr="002959A9">
        <w:rPr>
          <w:rFonts w:ascii="Times New Roman" w:eastAsia="Times New Roman" w:hAnsi="Times New Roman" w:cs="Times New Roman"/>
          <w:sz w:val="24"/>
          <w:szCs w:val="24"/>
        </w:rPr>
        <w:t xml:space="preserve">su indicirane jako visoke doze imunosupresiva (6). </w:t>
      </w:r>
      <w:r w:rsidRPr="002959A9">
        <w:rPr>
          <w:rFonts w:ascii="Times New Roman" w:hAnsi="Times New Roman" w:cs="Times New Roman"/>
          <w:sz w:val="24"/>
          <w:szCs w:val="24"/>
        </w:rPr>
        <w:t>Uloga stomatološkog tima se temelji na provođenju preventivnih mjera (1 ,4 ,</w:t>
      </w:r>
      <w:r w:rsidR="00D22CB1" w:rsidRPr="002959A9">
        <w:rPr>
          <w:rFonts w:ascii="Times New Roman" w:hAnsi="Times New Roman" w:cs="Times New Roman"/>
          <w:sz w:val="24"/>
          <w:szCs w:val="24"/>
        </w:rPr>
        <w:t>7-9</w:t>
      </w:r>
      <w:r w:rsidRPr="002959A9">
        <w:rPr>
          <w:rFonts w:ascii="Times New Roman" w:hAnsi="Times New Roman" w:cs="Times New Roman"/>
          <w:sz w:val="24"/>
          <w:szCs w:val="24"/>
        </w:rPr>
        <w:t xml:space="preserve">). Također, brojna istraživanja pokazuju da su pacijenti u ovom razdoblju psihički labilni (težina osnovne bolesti, lijekovi, terapija) te ih je potrebno dodatno motivirati (4, </w:t>
      </w:r>
      <w:r w:rsidR="00DE4223" w:rsidRPr="002959A9">
        <w:rPr>
          <w:rFonts w:ascii="Times New Roman" w:hAnsi="Times New Roman" w:cs="Times New Roman"/>
          <w:sz w:val="24"/>
          <w:szCs w:val="24"/>
        </w:rPr>
        <w:t>7</w:t>
      </w:r>
      <w:r w:rsidRPr="002959A9">
        <w:rPr>
          <w:rFonts w:ascii="Times New Roman" w:hAnsi="Times New Roman" w:cs="Times New Roman"/>
          <w:sz w:val="24"/>
          <w:szCs w:val="24"/>
        </w:rPr>
        <w:t xml:space="preserve">, </w:t>
      </w:r>
      <w:r w:rsidR="00DE4223" w:rsidRPr="002959A9">
        <w:rPr>
          <w:rFonts w:ascii="Times New Roman" w:hAnsi="Times New Roman" w:cs="Times New Roman"/>
          <w:sz w:val="24"/>
          <w:szCs w:val="24"/>
        </w:rPr>
        <w:t>8</w:t>
      </w:r>
      <w:r w:rsidRPr="002959A9">
        <w:rPr>
          <w:rFonts w:ascii="Times New Roman" w:hAnsi="Times New Roman" w:cs="Times New Roman"/>
          <w:sz w:val="24"/>
          <w:szCs w:val="24"/>
        </w:rPr>
        <w:t>). Potrebno je ponoviti naputke o oralnoj higijeni, ukloniti čimbenike rizika (cigarete, alkohol) te prilagoditi prehranu. Cilj preventive i motivacije je smanjenje ukupnog broja patogenih organizama. Naime, svi pacijenti su u stanju duboke imunosupresije i posljedično povećanog rizika od infekcije (1, 2, 4</w:t>
      </w:r>
      <w:r w:rsidR="008C0C6A" w:rsidRPr="002959A9">
        <w:rPr>
          <w:rFonts w:ascii="Times New Roman" w:hAnsi="Times New Roman" w:cs="Times New Roman"/>
          <w:sz w:val="24"/>
          <w:szCs w:val="24"/>
        </w:rPr>
        <w:t>, 6</w:t>
      </w:r>
      <w:r w:rsidRPr="002959A9">
        <w:rPr>
          <w:rFonts w:ascii="Times New Roman" w:hAnsi="Times New Roman" w:cs="Times New Roman"/>
          <w:sz w:val="24"/>
          <w:szCs w:val="24"/>
        </w:rPr>
        <w:t xml:space="preserve">). U ovom razdoblju se naglašava opasnost od akutnog odbacivanja organa, bolničkih infekcija (MRSA) i oportunističkih infekcija (kandidijaza) (1, </w:t>
      </w:r>
      <w:r w:rsidRPr="002959A9">
        <w:rPr>
          <w:rFonts w:ascii="Times New Roman" w:hAnsi="Times New Roman" w:cs="Times New Roman"/>
          <w:sz w:val="24"/>
          <w:szCs w:val="24"/>
        </w:rPr>
        <w:lastRenderedPageBreak/>
        <w:t xml:space="preserve">4, </w:t>
      </w:r>
      <w:r w:rsidR="00DE4223" w:rsidRPr="002959A9">
        <w:rPr>
          <w:rFonts w:ascii="Times New Roman" w:hAnsi="Times New Roman" w:cs="Times New Roman"/>
          <w:sz w:val="24"/>
          <w:szCs w:val="24"/>
        </w:rPr>
        <w:t>10</w:t>
      </w:r>
      <w:r w:rsidRPr="002959A9">
        <w:rPr>
          <w:rFonts w:ascii="Times New Roman" w:hAnsi="Times New Roman" w:cs="Times New Roman"/>
          <w:sz w:val="24"/>
          <w:szCs w:val="24"/>
        </w:rPr>
        <w:t>). Suspektan klinički nalaz za kandidijazu je pojava leukoplakije (obloženi jezik) te je indikacija za antifugalnu terapiju, nistatin ili amfotercin B (</w:t>
      </w:r>
      <w:r w:rsidR="00DE4223" w:rsidRPr="002959A9">
        <w:rPr>
          <w:rFonts w:ascii="Times New Roman" w:hAnsi="Times New Roman" w:cs="Times New Roman"/>
          <w:sz w:val="24"/>
          <w:szCs w:val="24"/>
        </w:rPr>
        <w:t>10</w:t>
      </w:r>
      <w:r w:rsidRPr="002959A9">
        <w:rPr>
          <w:rFonts w:ascii="Times New Roman" w:hAnsi="Times New Roman" w:cs="Times New Roman"/>
          <w:sz w:val="24"/>
          <w:szCs w:val="24"/>
        </w:rPr>
        <w:t>, 1</w:t>
      </w:r>
      <w:r w:rsidR="00DE4223" w:rsidRPr="002959A9">
        <w:rPr>
          <w:rFonts w:ascii="Times New Roman" w:hAnsi="Times New Roman" w:cs="Times New Roman"/>
          <w:sz w:val="24"/>
          <w:szCs w:val="24"/>
        </w:rPr>
        <w:t>8</w:t>
      </w:r>
      <w:r w:rsidRPr="002959A9">
        <w:rPr>
          <w:rFonts w:ascii="Times New Roman" w:hAnsi="Times New Roman" w:cs="Times New Roman"/>
          <w:sz w:val="24"/>
          <w:szCs w:val="24"/>
        </w:rPr>
        <w:t xml:space="preserve">). Kod transplantiranih pacijenata češće su virusne i gljivične infekcije (1, 4, </w:t>
      </w:r>
      <w:r w:rsidR="00DE4223" w:rsidRPr="002959A9">
        <w:rPr>
          <w:rFonts w:ascii="Times New Roman" w:hAnsi="Times New Roman" w:cs="Times New Roman"/>
          <w:sz w:val="24"/>
          <w:szCs w:val="24"/>
        </w:rPr>
        <w:t>10</w:t>
      </w:r>
      <w:r w:rsidRPr="002959A9">
        <w:rPr>
          <w:rFonts w:ascii="Times New Roman" w:hAnsi="Times New Roman" w:cs="Times New Roman"/>
          <w:sz w:val="24"/>
          <w:szCs w:val="24"/>
        </w:rPr>
        <w:t>). Od virusnih se pojavljuje: CMV (75%), HSV (50%), EBV i varicella zoster infekcija</w:t>
      </w:r>
      <w:r w:rsidR="008C0C6A" w:rsidRPr="002959A9">
        <w:rPr>
          <w:rFonts w:ascii="Times New Roman" w:hAnsi="Times New Roman" w:cs="Times New Roman"/>
          <w:sz w:val="24"/>
          <w:szCs w:val="24"/>
        </w:rPr>
        <w:t xml:space="preserve"> </w:t>
      </w:r>
      <w:r w:rsidRPr="002959A9">
        <w:rPr>
          <w:rFonts w:ascii="Times New Roman" w:hAnsi="Times New Roman" w:cs="Times New Roman"/>
          <w:sz w:val="24"/>
          <w:szCs w:val="24"/>
        </w:rPr>
        <w:t xml:space="preserve">(1, 4, </w:t>
      </w:r>
      <w:r w:rsidR="00DE4223" w:rsidRPr="002959A9">
        <w:rPr>
          <w:rFonts w:ascii="Times New Roman" w:hAnsi="Times New Roman" w:cs="Times New Roman"/>
          <w:sz w:val="24"/>
          <w:szCs w:val="24"/>
        </w:rPr>
        <w:t>7</w:t>
      </w:r>
      <w:r w:rsidRPr="002959A9">
        <w:rPr>
          <w:rFonts w:ascii="Times New Roman" w:hAnsi="Times New Roman" w:cs="Times New Roman"/>
          <w:sz w:val="24"/>
          <w:szCs w:val="24"/>
        </w:rPr>
        <w:t xml:space="preserve">, </w:t>
      </w:r>
      <w:r w:rsidR="00DE4223" w:rsidRPr="002959A9">
        <w:rPr>
          <w:rFonts w:ascii="Times New Roman" w:hAnsi="Times New Roman" w:cs="Times New Roman"/>
          <w:sz w:val="24"/>
          <w:szCs w:val="24"/>
        </w:rPr>
        <w:t>10</w:t>
      </w:r>
      <w:r w:rsidRPr="002959A9">
        <w:rPr>
          <w:rFonts w:ascii="Times New Roman" w:hAnsi="Times New Roman" w:cs="Times New Roman"/>
          <w:sz w:val="24"/>
          <w:szCs w:val="24"/>
        </w:rPr>
        <w:t>, 1</w:t>
      </w:r>
      <w:r w:rsidR="00DE4223" w:rsidRPr="002959A9">
        <w:rPr>
          <w:rFonts w:ascii="Times New Roman" w:hAnsi="Times New Roman" w:cs="Times New Roman"/>
          <w:sz w:val="24"/>
          <w:szCs w:val="24"/>
        </w:rPr>
        <w:t>8</w:t>
      </w:r>
      <w:r w:rsidRPr="002959A9">
        <w:rPr>
          <w:rFonts w:ascii="Times New Roman" w:hAnsi="Times New Roman" w:cs="Times New Roman"/>
          <w:sz w:val="24"/>
          <w:szCs w:val="24"/>
        </w:rPr>
        <w:t xml:space="preserve">). Lezije su veće i sporije zacjeljuju od onih u imunokompetentnih pacijenata te je kod svih seropozitvnih pacijenata indiciran aciklovir 1g/dan ili 200mg/3-4x dan (1, </w:t>
      </w:r>
      <w:r w:rsidR="00DE4223" w:rsidRPr="002959A9">
        <w:rPr>
          <w:rFonts w:ascii="Times New Roman" w:hAnsi="Times New Roman" w:cs="Times New Roman"/>
          <w:sz w:val="24"/>
          <w:szCs w:val="24"/>
        </w:rPr>
        <w:t>7</w:t>
      </w:r>
      <w:r w:rsidRPr="002959A9">
        <w:rPr>
          <w:rFonts w:ascii="Times New Roman" w:hAnsi="Times New Roman" w:cs="Times New Roman"/>
          <w:sz w:val="24"/>
          <w:szCs w:val="24"/>
        </w:rPr>
        <w:t xml:space="preserve">, </w:t>
      </w:r>
      <w:r w:rsidR="00DE4223" w:rsidRPr="002959A9">
        <w:rPr>
          <w:rFonts w:ascii="Times New Roman" w:hAnsi="Times New Roman" w:cs="Times New Roman"/>
          <w:sz w:val="24"/>
          <w:szCs w:val="24"/>
        </w:rPr>
        <w:t>10</w:t>
      </w:r>
      <w:r w:rsidRPr="002959A9">
        <w:rPr>
          <w:rFonts w:ascii="Times New Roman" w:hAnsi="Times New Roman" w:cs="Times New Roman"/>
          <w:sz w:val="24"/>
          <w:szCs w:val="24"/>
        </w:rPr>
        <w:t>, 1</w:t>
      </w:r>
      <w:r w:rsidR="00DE4223" w:rsidRPr="002959A9">
        <w:rPr>
          <w:rFonts w:ascii="Times New Roman" w:hAnsi="Times New Roman" w:cs="Times New Roman"/>
          <w:sz w:val="24"/>
          <w:szCs w:val="24"/>
        </w:rPr>
        <w:t>8</w:t>
      </w:r>
      <w:r w:rsidRPr="002959A9">
        <w:rPr>
          <w:rFonts w:ascii="Times New Roman" w:hAnsi="Times New Roman" w:cs="Times New Roman"/>
          <w:sz w:val="24"/>
          <w:szCs w:val="24"/>
        </w:rPr>
        <w:t xml:space="preserve">). Ukoliko se u ovom periodu pojave simptomi koji </w:t>
      </w:r>
      <w:r w:rsidR="007157B6" w:rsidRPr="002959A9">
        <w:rPr>
          <w:rFonts w:ascii="Times New Roman" w:hAnsi="Times New Roman" w:cs="Times New Roman"/>
          <w:sz w:val="24"/>
          <w:szCs w:val="24"/>
        </w:rPr>
        <w:t>zahtijevaju</w:t>
      </w:r>
      <w:r w:rsidRPr="002959A9">
        <w:rPr>
          <w:rFonts w:ascii="Times New Roman" w:hAnsi="Times New Roman" w:cs="Times New Roman"/>
          <w:sz w:val="24"/>
          <w:szCs w:val="24"/>
        </w:rPr>
        <w:t xml:space="preserve"> dentalni tretman, bolesnika je potrebno hospitalizirati (1, 4, </w:t>
      </w:r>
      <w:r w:rsidR="00DE4223" w:rsidRPr="002959A9">
        <w:rPr>
          <w:rFonts w:ascii="Times New Roman" w:hAnsi="Times New Roman" w:cs="Times New Roman"/>
          <w:sz w:val="24"/>
          <w:szCs w:val="24"/>
        </w:rPr>
        <w:t>8</w:t>
      </w:r>
      <w:r w:rsidRPr="002959A9">
        <w:rPr>
          <w:rFonts w:ascii="Times New Roman" w:hAnsi="Times New Roman" w:cs="Times New Roman"/>
          <w:sz w:val="24"/>
          <w:szCs w:val="24"/>
        </w:rPr>
        <w:t xml:space="preserve">, </w:t>
      </w:r>
      <w:r w:rsidR="00DE4223" w:rsidRPr="002959A9">
        <w:rPr>
          <w:rFonts w:ascii="Times New Roman" w:hAnsi="Times New Roman" w:cs="Times New Roman"/>
          <w:sz w:val="24"/>
          <w:szCs w:val="24"/>
        </w:rPr>
        <w:t>9</w:t>
      </w:r>
      <w:r w:rsidRPr="002959A9">
        <w:rPr>
          <w:rFonts w:ascii="Times New Roman" w:hAnsi="Times New Roman" w:cs="Times New Roman"/>
          <w:sz w:val="24"/>
          <w:szCs w:val="24"/>
        </w:rPr>
        <w:t xml:space="preserve">). S ciljem da se infekcija što prije sanira, stomatološki tim treba </w:t>
      </w:r>
      <w:r w:rsidR="008C0C6A" w:rsidRPr="002959A9">
        <w:rPr>
          <w:rFonts w:ascii="Times New Roman" w:hAnsi="Times New Roman" w:cs="Times New Roman"/>
          <w:sz w:val="24"/>
          <w:szCs w:val="24"/>
        </w:rPr>
        <w:t>pristupiti radikalno</w:t>
      </w:r>
      <w:r w:rsidRPr="002959A9">
        <w:rPr>
          <w:rFonts w:ascii="Times New Roman" w:hAnsi="Times New Roman" w:cs="Times New Roman"/>
          <w:sz w:val="24"/>
          <w:szCs w:val="24"/>
        </w:rPr>
        <w:t xml:space="preserve"> (1). Kod pacijenata koji su transplantirali matične stanice</w:t>
      </w:r>
      <w:r w:rsidR="00D22CB1" w:rsidRPr="002959A9">
        <w:rPr>
          <w:rFonts w:ascii="Times New Roman" w:hAnsi="Times New Roman" w:cs="Times New Roman"/>
          <w:sz w:val="24"/>
          <w:szCs w:val="24"/>
        </w:rPr>
        <w:t>,</w:t>
      </w:r>
      <w:r w:rsidRPr="002959A9">
        <w:rPr>
          <w:rFonts w:ascii="Times New Roman" w:hAnsi="Times New Roman" w:cs="Times New Roman"/>
          <w:sz w:val="24"/>
          <w:szCs w:val="24"/>
        </w:rPr>
        <w:t xml:space="preserve"> kao posebna komplikacija u ovom periodu se navodi mukozitis (1, 4, </w:t>
      </w:r>
      <w:r w:rsidR="00DE4223" w:rsidRPr="002959A9">
        <w:rPr>
          <w:rFonts w:ascii="Times New Roman" w:hAnsi="Times New Roman" w:cs="Times New Roman"/>
          <w:sz w:val="24"/>
          <w:szCs w:val="24"/>
        </w:rPr>
        <w:t>7</w:t>
      </w:r>
      <w:r w:rsidRPr="002959A9">
        <w:rPr>
          <w:rFonts w:ascii="Times New Roman" w:hAnsi="Times New Roman" w:cs="Times New Roman"/>
          <w:sz w:val="24"/>
          <w:szCs w:val="24"/>
        </w:rPr>
        <w:t>, 1</w:t>
      </w:r>
      <w:r w:rsidR="00DE4223" w:rsidRPr="002959A9">
        <w:rPr>
          <w:rFonts w:ascii="Times New Roman" w:hAnsi="Times New Roman" w:cs="Times New Roman"/>
          <w:sz w:val="24"/>
          <w:szCs w:val="24"/>
        </w:rPr>
        <w:t>6</w:t>
      </w:r>
      <w:r w:rsidRPr="002959A9">
        <w:rPr>
          <w:rFonts w:ascii="Times New Roman" w:hAnsi="Times New Roman" w:cs="Times New Roman"/>
          <w:sz w:val="24"/>
          <w:szCs w:val="24"/>
        </w:rPr>
        <w:t xml:space="preserve">). Zbog različitog modaliteta terapije, ovi bolesnici 2-7 dana prije same transplantacije dobivaju visoke doze imunosupresiva (metotreksat) (1, </w:t>
      </w:r>
      <w:r w:rsidR="008C0C6A" w:rsidRPr="002959A9">
        <w:rPr>
          <w:rFonts w:ascii="Times New Roman" w:hAnsi="Times New Roman" w:cs="Times New Roman"/>
          <w:sz w:val="24"/>
          <w:szCs w:val="24"/>
        </w:rPr>
        <w:t>7</w:t>
      </w:r>
      <w:r w:rsidRPr="002959A9">
        <w:rPr>
          <w:rFonts w:ascii="Times New Roman" w:hAnsi="Times New Roman" w:cs="Times New Roman"/>
          <w:sz w:val="24"/>
          <w:szCs w:val="24"/>
        </w:rPr>
        <w:t>, 1</w:t>
      </w:r>
      <w:r w:rsidR="008C0C6A" w:rsidRPr="002959A9">
        <w:rPr>
          <w:rFonts w:ascii="Times New Roman" w:hAnsi="Times New Roman" w:cs="Times New Roman"/>
          <w:sz w:val="24"/>
          <w:szCs w:val="24"/>
        </w:rPr>
        <w:t>2</w:t>
      </w:r>
      <w:r w:rsidRPr="002959A9">
        <w:rPr>
          <w:rFonts w:ascii="Times New Roman" w:hAnsi="Times New Roman" w:cs="Times New Roman"/>
          <w:sz w:val="24"/>
          <w:szCs w:val="24"/>
        </w:rPr>
        <w:t>).</w:t>
      </w:r>
      <w:r w:rsidRPr="002959A9">
        <w:rPr>
          <w:rFonts w:ascii="Times New Roman" w:hAnsi="Times New Roman" w:cs="Times New Roman"/>
        </w:rPr>
        <w:t xml:space="preserve"> </w:t>
      </w:r>
      <w:r w:rsidR="008C0C6A" w:rsidRPr="002959A9">
        <w:rPr>
          <w:rFonts w:ascii="Times New Roman" w:hAnsi="Times New Roman" w:cs="Times New Roman"/>
          <w:sz w:val="24"/>
          <w:szCs w:val="24"/>
        </w:rPr>
        <w:t>Stomatološki tim bi trebao upozoriti pacijente na nuspojavu terapije</w:t>
      </w:r>
      <w:r w:rsidR="00AA4A72" w:rsidRPr="002959A9">
        <w:rPr>
          <w:rFonts w:ascii="Times New Roman" w:hAnsi="Times New Roman" w:cs="Times New Roman"/>
          <w:sz w:val="24"/>
          <w:szCs w:val="24"/>
        </w:rPr>
        <w:t xml:space="preserve"> u vidu</w:t>
      </w:r>
      <w:r w:rsidR="001B2D7E" w:rsidRPr="002959A9">
        <w:rPr>
          <w:rFonts w:ascii="Times New Roman" w:hAnsi="Times New Roman" w:cs="Times New Roman"/>
          <w:sz w:val="24"/>
          <w:szCs w:val="24"/>
        </w:rPr>
        <w:t xml:space="preserve"> mukozitis</w:t>
      </w:r>
      <w:r w:rsidR="00AA4A72" w:rsidRPr="002959A9">
        <w:rPr>
          <w:rFonts w:ascii="Times New Roman" w:hAnsi="Times New Roman" w:cs="Times New Roman"/>
          <w:sz w:val="24"/>
          <w:szCs w:val="24"/>
        </w:rPr>
        <w:t>a</w:t>
      </w:r>
      <w:r w:rsidR="001B2D7E" w:rsidRPr="002959A9">
        <w:rPr>
          <w:rFonts w:ascii="Times New Roman" w:hAnsi="Times New Roman" w:cs="Times New Roman"/>
          <w:sz w:val="24"/>
          <w:szCs w:val="24"/>
        </w:rPr>
        <w:t xml:space="preserve"> te naglasiti potrebu za održavanjem oralne higijene. Uz dobru oralnu higijenu,</w:t>
      </w:r>
      <w:r w:rsidR="000A3B35" w:rsidRPr="002959A9">
        <w:rPr>
          <w:rFonts w:ascii="Times New Roman" w:hAnsi="Times New Roman" w:cs="Times New Roman"/>
          <w:sz w:val="24"/>
          <w:szCs w:val="24"/>
        </w:rPr>
        <w:t xml:space="preserve"> </w:t>
      </w:r>
      <w:r w:rsidR="001C2AF3" w:rsidRPr="002959A9">
        <w:rPr>
          <w:rFonts w:ascii="Times New Roman" w:hAnsi="Times New Roman" w:cs="Times New Roman"/>
          <w:sz w:val="24"/>
          <w:szCs w:val="24"/>
        </w:rPr>
        <w:t>mukozitis regredira za 14-18</w:t>
      </w:r>
      <w:r w:rsidR="0077363D" w:rsidRPr="002959A9">
        <w:rPr>
          <w:rFonts w:ascii="Times New Roman" w:hAnsi="Times New Roman" w:cs="Times New Roman"/>
          <w:sz w:val="24"/>
          <w:szCs w:val="24"/>
        </w:rPr>
        <w:t xml:space="preserve"> </w:t>
      </w:r>
      <w:r w:rsidR="001C2AF3" w:rsidRPr="002959A9">
        <w:rPr>
          <w:rFonts w:ascii="Times New Roman" w:hAnsi="Times New Roman" w:cs="Times New Roman"/>
          <w:sz w:val="24"/>
          <w:szCs w:val="24"/>
        </w:rPr>
        <w:t>dana</w:t>
      </w:r>
      <w:r w:rsidR="001B2D7E" w:rsidRPr="002959A9">
        <w:rPr>
          <w:rFonts w:ascii="Times New Roman" w:hAnsi="Times New Roman" w:cs="Times New Roman"/>
          <w:sz w:val="24"/>
          <w:szCs w:val="24"/>
        </w:rPr>
        <w:t xml:space="preserve"> bez većih komplikacija (sekundarne infekcije, fatalan ishod)</w:t>
      </w:r>
      <w:r w:rsidR="001C2AF3" w:rsidRPr="002959A9">
        <w:rPr>
          <w:rFonts w:ascii="Times New Roman" w:hAnsi="Times New Roman" w:cs="Times New Roman"/>
          <w:sz w:val="24"/>
          <w:szCs w:val="24"/>
        </w:rPr>
        <w:t xml:space="preserve"> (12, 1</w:t>
      </w:r>
      <w:r w:rsidR="001B2D7E" w:rsidRPr="002959A9">
        <w:rPr>
          <w:rFonts w:ascii="Times New Roman" w:hAnsi="Times New Roman" w:cs="Times New Roman"/>
          <w:sz w:val="24"/>
          <w:szCs w:val="24"/>
        </w:rPr>
        <w:t>8</w:t>
      </w:r>
      <w:r w:rsidR="001C2AF3" w:rsidRPr="002959A9">
        <w:rPr>
          <w:rFonts w:ascii="Times New Roman" w:hAnsi="Times New Roman" w:cs="Times New Roman"/>
          <w:sz w:val="24"/>
          <w:szCs w:val="24"/>
        </w:rPr>
        <w:t>).</w:t>
      </w:r>
      <w:r w:rsidRPr="002959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67DC8" w14:textId="77777777" w:rsidR="009B1A3F" w:rsidRPr="002959A9" w:rsidRDefault="003B1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A9">
        <w:rPr>
          <w:rFonts w:ascii="Times New Roman" w:hAnsi="Times New Roman" w:cs="Times New Roman"/>
          <w:sz w:val="24"/>
          <w:szCs w:val="24"/>
        </w:rPr>
        <w:t xml:space="preserve">Nakon što se </w:t>
      </w:r>
      <w:r w:rsidR="00F924D5" w:rsidRPr="002959A9">
        <w:rPr>
          <w:rFonts w:ascii="Times New Roman" w:hAnsi="Times New Roman" w:cs="Times New Roman"/>
          <w:sz w:val="24"/>
          <w:szCs w:val="24"/>
        </w:rPr>
        <w:t>spriječi</w:t>
      </w:r>
      <w:r w:rsidRPr="002959A9">
        <w:rPr>
          <w:rFonts w:ascii="Times New Roman" w:hAnsi="Times New Roman" w:cs="Times New Roman"/>
          <w:sz w:val="24"/>
          <w:szCs w:val="24"/>
        </w:rPr>
        <w:t xml:space="preserve"> mogućnost akutnog odbacivanja i uspostavi funkcija transplantata, pacijent ulazi u stabilnu fazu (1, 4). Sve pacijente je potrebno uključiti u aktivni recall program, a ovisno o težini zdravstvenog stanja, pacijenti se naručuju u razmacima od 3-6mj. (1, 4, </w:t>
      </w:r>
      <w:r w:rsidR="008C0C6A" w:rsidRPr="002959A9">
        <w:rPr>
          <w:rFonts w:ascii="Times New Roman" w:hAnsi="Times New Roman" w:cs="Times New Roman"/>
          <w:sz w:val="24"/>
          <w:szCs w:val="24"/>
        </w:rPr>
        <w:t>8</w:t>
      </w:r>
      <w:r w:rsidRPr="002959A9">
        <w:rPr>
          <w:rFonts w:ascii="Times New Roman" w:hAnsi="Times New Roman" w:cs="Times New Roman"/>
          <w:sz w:val="24"/>
          <w:szCs w:val="24"/>
        </w:rPr>
        <w:t xml:space="preserve">, </w:t>
      </w:r>
      <w:r w:rsidR="008C0C6A" w:rsidRPr="002959A9">
        <w:rPr>
          <w:rFonts w:ascii="Times New Roman" w:hAnsi="Times New Roman" w:cs="Times New Roman"/>
          <w:sz w:val="24"/>
          <w:szCs w:val="24"/>
        </w:rPr>
        <w:t>9</w:t>
      </w:r>
      <w:r w:rsidRPr="002959A9">
        <w:rPr>
          <w:rFonts w:ascii="Times New Roman" w:hAnsi="Times New Roman" w:cs="Times New Roman"/>
          <w:sz w:val="24"/>
          <w:szCs w:val="24"/>
        </w:rPr>
        <w:t>). Cilj ovog programa je da se sve promjene na vrijeme dijagnosticiraju i liječe. Problemi s kojima se</w:t>
      </w:r>
      <w:r w:rsidR="00503E2D" w:rsidRPr="002959A9">
        <w:rPr>
          <w:rFonts w:ascii="Times New Roman" w:hAnsi="Times New Roman" w:cs="Times New Roman"/>
          <w:sz w:val="24"/>
          <w:szCs w:val="24"/>
        </w:rPr>
        <w:t xml:space="preserve"> transplantacijski tim </w:t>
      </w:r>
      <w:r w:rsidRPr="002959A9">
        <w:rPr>
          <w:rFonts w:ascii="Times New Roman" w:hAnsi="Times New Roman" w:cs="Times New Roman"/>
          <w:sz w:val="24"/>
          <w:szCs w:val="24"/>
        </w:rPr>
        <w:t>može susresti su: mogućnost kroničnog odbacivanja, komplikacije lijekova te pojava oralnog karcinoma.</w:t>
      </w:r>
      <w:r w:rsidR="0077363D" w:rsidRPr="002959A9">
        <w:rPr>
          <w:rFonts w:ascii="Times New Roman" w:hAnsi="Times New Roman" w:cs="Times New Roman"/>
          <w:sz w:val="24"/>
          <w:szCs w:val="24"/>
        </w:rPr>
        <w:t xml:space="preserve"> </w:t>
      </w:r>
      <w:r w:rsidRPr="002959A9">
        <w:rPr>
          <w:rFonts w:ascii="Times New Roman" w:hAnsi="Times New Roman" w:cs="Times New Roman"/>
          <w:sz w:val="24"/>
          <w:szCs w:val="24"/>
        </w:rPr>
        <w:t>U ovom periodu se mogu obavljati svi dentalni zahvati, uključujući i invazivne (Tablica 3) (1</w:t>
      </w:r>
      <w:r w:rsidR="003744AE" w:rsidRPr="002959A9">
        <w:rPr>
          <w:rFonts w:ascii="Times New Roman" w:hAnsi="Times New Roman" w:cs="Times New Roman"/>
          <w:sz w:val="24"/>
          <w:szCs w:val="24"/>
        </w:rPr>
        <w:t>).</w:t>
      </w:r>
    </w:p>
    <w:p w14:paraId="52C449F5" w14:textId="77777777" w:rsidR="00D22CB1" w:rsidRPr="002959A9" w:rsidRDefault="00D22C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560FD9" w14:textId="77777777" w:rsidR="003B1401" w:rsidRPr="002959A9" w:rsidRDefault="003B1401" w:rsidP="00B476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9A9">
        <w:rPr>
          <w:rFonts w:ascii="Times New Roman" w:hAnsi="Times New Roman" w:cs="Times New Roman"/>
        </w:rPr>
        <w:t>Tablica 3. Posttransplantacijsko dentalno liječenje. Preuzeto i prerađeno iz (1).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B1401" w:rsidRPr="002959A9" w14:paraId="3CB31437" w14:textId="77777777" w:rsidTr="002D48D5">
        <w:tc>
          <w:tcPr>
            <w:tcW w:w="9072" w:type="dxa"/>
            <w:shd w:val="clear" w:color="auto" w:fill="BDD6EE" w:themeFill="accent1" w:themeFillTint="66"/>
          </w:tcPr>
          <w:p w14:paraId="33AADB7D" w14:textId="77777777" w:rsidR="003B1401" w:rsidRPr="002959A9" w:rsidRDefault="003B1401" w:rsidP="00B47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9A9">
              <w:rPr>
                <w:rFonts w:ascii="Times New Roman" w:hAnsi="Times New Roman" w:cs="Times New Roman"/>
                <w:b/>
              </w:rPr>
              <w:t>IMEDIJATNI POSTTRANSPLANTACIJSKI PERIOD ≤6 mj.</w:t>
            </w:r>
          </w:p>
        </w:tc>
      </w:tr>
      <w:tr w:rsidR="003B1401" w:rsidRPr="002959A9" w14:paraId="7BD79646" w14:textId="77777777" w:rsidTr="002D48D5">
        <w:tc>
          <w:tcPr>
            <w:tcW w:w="9072" w:type="dxa"/>
            <w:shd w:val="clear" w:color="auto" w:fill="DEEAF6" w:themeFill="accent1" w:themeFillTint="33"/>
          </w:tcPr>
          <w:p w14:paraId="3D1B5899" w14:textId="77777777" w:rsidR="003B1401" w:rsidRPr="002959A9" w:rsidRDefault="003B1401" w:rsidP="00683427">
            <w:pPr>
              <w:rPr>
                <w:rFonts w:ascii="Times New Roman" w:hAnsi="Times New Roman" w:cs="Times New Roman"/>
              </w:rPr>
            </w:pPr>
            <w:r w:rsidRPr="002959A9">
              <w:rPr>
                <w:rFonts w:ascii="Times New Roman" w:hAnsi="Times New Roman" w:cs="Times New Roman"/>
              </w:rPr>
              <w:t>Savjetovanje sa transplantacijskim timom</w:t>
            </w:r>
          </w:p>
          <w:p w14:paraId="5D22BE85" w14:textId="77777777" w:rsidR="003B1401" w:rsidRPr="002959A9" w:rsidRDefault="003B1401" w:rsidP="00683427">
            <w:pPr>
              <w:rPr>
                <w:rFonts w:ascii="Times New Roman" w:hAnsi="Times New Roman" w:cs="Times New Roman"/>
              </w:rPr>
            </w:pPr>
            <w:r w:rsidRPr="002959A9">
              <w:rPr>
                <w:rFonts w:ascii="Times New Roman" w:hAnsi="Times New Roman" w:cs="Times New Roman"/>
              </w:rPr>
              <w:t>1.odgađanje dentalnog tretmana</w:t>
            </w:r>
          </w:p>
          <w:p w14:paraId="18F3E576" w14:textId="77777777" w:rsidR="003B1401" w:rsidRPr="002959A9" w:rsidRDefault="003B1401" w:rsidP="00683427">
            <w:pPr>
              <w:rPr>
                <w:rFonts w:ascii="Times New Roman" w:hAnsi="Times New Roman" w:cs="Times New Roman"/>
              </w:rPr>
            </w:pPr>
            <w:r w:rsidRPr="002959A9">
              <w:rPr>
                <w:rFonts w:ascii="Times New Roman" w:hAnsi="Times New Roman" w:cs="Times New Roman"/>
              </w:rPr>
              <w:t xml:space="preserve">2.oralna higijena </w:t>
            </w:r>
          </w:p>
          <w:p w14:paraId="5FB69DFB" w14:textId="77777777" w:rsidR="003B1401" w:rsidRPr="002959A9" w:rsidRDefault="003B1401" w:rsidP="00683427">
            <w:pPr>
              <w:rPr>
                <w:rFonts w:ascii="Times New Roman" w:hAnsi="Times New Roman" w:cs="Times New Roman"/>
              </w:rPr>
            </w:pPr>
            <w:r w:rsidRPr="002959A9">
              <w:rPr>
                <w:rFonts w:ascii="Times New Roman" w:hAnsi="Times New Roman" w:cs="Times New Roman"/>
              </w:rPr>
              <w:t>3.hospitalizacija (eliminacija infekcije)</w:t>
            </w:r>
          </w:p>
        </w:tc>
      </w:tr>
      <w:tr w:rsidR="003B1401" w:rsidRPr="002959A9" w14:paraId="3DB75930" w14:textId="77777777" w:rsidTr="002D48D5">
        <w:tc>
          <w:tcPr>
            <w:tcW w:w="9072" w:type="dxa"/>
            <w:shd w:val="clear" w:color="auto" w:fill="BDD6EE" w:themeFill="accent1" w:themeFillTint="66"/>
          </w:tcPr>
          <w:p w14:paraId="18ACF172" w14:textId="77777777" w:rsidR="003B1401" w:rsidRPr="002959A9" w:rsidRDefault="003B1401" w:rsidP="00683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9A9">
              <w:rPr>
                <w:rFonts w:ascii="Times New Roman" w:hAnsi="Times New Roman" w:cs="Times New Roman"/>
                <w:b/>
              </w:rPr>
              <w:t>STABILNI POSTTRANSPLANTACIJSKI PERIOD</w:t>
            </w:r>
          </w:p>
        </w:tc>
      </w:tr>
      <w:tr w:rsidR="003B1401" w:rsidRPr="002959A9" w14:paraId="28656914" w14:textId="77777777" w:rsidTr="002D48D5">
        <w:tc>
          <w:tcPr>
            <w:tcW w:w="9072" w:type="dxa"/>
            <w:shd w:val="clear" w:color="auto" w:fill="DEEAF6" w:themeFill="accent1" w:themeFillTint="33"/>
          </w:tcPr>
          <w:p w14:paraId="3DE557CF" w14:textId="77777777" w:rsidR="003B1401" w:rsidRPr="002959A9" w:rsidRDefault="003B1401" w:rsidP="00683427">
            <w:pPr>
              <w:rPr>
                <w:rFonts w:ascii="Times New Roman" w:hAnsi="Times New Roman" w:cs="Times New Roman"/>
              </w:rPr>
            </w:pPr>
            <w:r w:rsidRPr="002959A9">
              <w:rPr>
                <w:rFonts w:ascii="Times New Roman" w:hAnsi="Times New Roman" w:cs="Times New Roman"/>
              </w:rPr>
              <w:t xml:space="preserve">1.oralna higijena </w:t>
            </w:r>
          </w:p>
          <w:p w14:paraId="22668415" w14:textId="77777777" w:rsidR="003B1401" w:rsidRPr="002959A9" w:rsidRDefault="003B1401" w:rsidP="00683427">
            <w:pPr>
              <w:rPr>
                <w:rFonts w:ascii="Times New Roman" w:hAnsi="Times New Roman" w:cs="Times New Roman"/>
              </w:rPr>
            </w:pPr>
            <w:r w:rsidRPr="002959A9">
              <w:rPr>
                <w:rFonts w:ascii="Times New Roman" w:hAnsi="Times New Roman" w:cs="Times New Roman"/>
              </w:rPr>
              <w:t>2.recall program (3-6mj.)</w:t>
            </w:r>
          </w:p>
          <w:p w14:paraId="51E5D1F9" w14:textId="77777777" w:rsidR="003B1401" w:rsidRPr="002959A9" w:rsidRDefault="003B1401" w:rsidP="00683427">
            <w:pPr>
              <w:rPr>
                <w:rFonts w:ascii="Times New Roman" w:hAnsi="Times New Roman" w:cs="Times New Roman"/>
              </w:rPr>
            </w:pPr>
            <w:r w:rsidRPr="002959A9">
              <w:rPr>
                <w:rFonts w:ascii="Times New Roman" w:hAnsi="Times New Roman" w:cs="Times New Roman"/>
              </w:rPr>
              <w:t>3.kontroliranje krvnog tlaka (takrolimus, ciklosporin, prednison)</w:t>
            </w:r>
          </w:p>
          <w:p w14:paraId="78B52E12" w14:textId="77777777" w:rsidR="003B1401" w:rsidRPr="002959A9" w:rsidRDefault="003B1401" w:rsidP="00683427">
            <w:pPr>
              <w:rPr>
                <w:rFonts w:ascii="Times New Roman" w:hAnsi="Times New Roman" w:cs="Times New Roman"/>
              </w:rPr>
            </w:pPr>
            <w:r w:rsidRPr="002959A9">
              <w:rPr>
                <w:rFonts w:ascii="Times New Roman" w:hAnsi="Times New Roman" w:cs="Times New Roman"/>
              </w:rPr>
              <w:t xml:space="preserve">4.kontroliranje hiperplazije gingive (ciklosporin) </w:t>
            </w:r>
          </w:p>
          <w:p w14:paraId="59B568F7" w14:textId="77777777" w:rsidR="003B1401" w:rsidRPr="002959A9" w:rsidRDefault="003B1401" w:rsidP="00683427">
            <w:pPr>
              <w:rPr>
                <w:rFonts w:ascii="Times New Roman" w:hAnsi="Times New Roman" w:cs="Times New Roman"/>
              </w:rPr>
            </w:pPr>
            <w:r w:rsidRPr="002959A9">
              <w:rPr>
                <w:rFonts w:ascii="Times New Roman" w:hAnsi="Times New Roman" w:cs="Times New Roman"/>
              </w:rPr>
              <w:t xml:space="preserve">5.aktivno liječenje svih lezija (invazivno) </w:t>
            </w:r>
          </w:p>
          <w:p w14:paraId="1F88B276" w14:textId="77777777" w:rsidR="003B1401" w:rsidRPr="002959A9" w:rsidRDefault="003B1401" w:rsidP="00683427">
            <w:pPr>
              <w:rPr>
                <w:rFonts w:ascii="Times New Roman" w:hAnsi="Times New Roman" w:cs="Times New Roman"/>
              </w:rPr>
            </w:pPr>
            <w:r w:rsidRPr="002959A9">
              <w:rPr>
                <w:rFonts w:ascii="Times New Roman" w:hAnsi="Times New Roman" w:cs="Times New Roman"/>
              </w:rPr>
              <w:t xml:space="preserve">6.kontroliranje oralnih lezija i simptoma (imunosupresivi, odbacivanje organa) </w:t>
            </w:r>
          </w:p>
          <w:p w14:paraId="5A330D77" w14:textId="77777777" w:rsidR="003B1401" w:rsidRPr="002959A9" w:rsidRDefault="003B1401" w:rsidP="00683427">
            <w:pPr>
              <w:rPr>
                <w:rFonts w:ascii="Times New Roman" w:hAnsi="Times New Roman" w:cs="Times New Roman"/>
              </w:rPr>
            </w:pPr>
            <w:r w:rsidRPr="002959A9">
              <w:rPr>
                <w:rFonts w:ascii="Times New Roman" w:hAnsi="Times New Roman" w:cs="Times New Roman"/>
              </w:rPr>
              <w:t>7.mijenjanje lijeka ili redukcija doze</w:t>
            </w:r>
          </w:p>
          <w:p w14:paraId="73987BB3" w14:textId="77777777" w:rsidR="003B1401" w:rsidRPr="002959A9" w:rsidRDefault="003B1401" w:rsidP="00683427">
            <w:pPr>
              <w:rPr>
                <w:rFonts w:ascii="Times New Roman" w:hAnsi="Times New Roman" w:cs="Times New Roman"/>
              </w:rPr>
            </w:pPr>
            <w:r w:rsidRPr="002959A9">
              <w:rPr>
                <w:rFonts w:ascii="Times New Roman" w:hAnsi="Times New Roman" w:cs="Times New Roman"/>
              </w:rPr>
              <w:t xml:space="preserve">a)funkcija jetre i/ili bubrega </w:t>
            </w:r>
          </w:p>
          <w:p w14:paraId="3BCE6A54" w14:textId="77777777" w:rsidR="003B1401" w:rsidRPr="002959A9" w:rsidRDefault="003B1401" w:rsidP="00683427">
            <w:pPr>
              <w:rPr>
                <w:rFonts w:ascii="Times New Roman" w:hAnsi="Times New Roman" w:cs="Times New Roman"/>
              </w:rPr>
            </w:pPr>
            <w:r w:rsidRPr="002959A9">
              <w:rPr>
                <w:rFonts w:ascii="Times New Roman" w:hAnsi="Times New Roman" w:cs="Times New Roman"/>
              </w:rPr>
              <w:t xml:space="preserve">b)izbjegavanje potencijalno toksičnih lijekova (NSAIR) </w:t>
            </w:r>
          </w:p>
          <w:p w14:paraId="78D1EC5B" w14:textId="77777777" w:rsidR="003B1401" w:rsidRPr="002959A9" w:rsidRDefault="003B1401" w:rsidP="00683427">
            <w:pPr>
              <w:rPr>
                <w:rFonts w:ascii="Times New Roman" w:hAnsi="Times New Roman" w:cs="Times New Roman"/>
              </w:rPr>
            </w:pPr>
            <w:r w:rsidRPr="002959A9">
              <w:rPr>
                <w:rFonts w:ascii="Times New Roman" w:hAnsi="Times New Roman" w:cs="Times New Roman"/>
              </w:rPr>
              <w:t>c)interakcija lijekova</w:t>
            </w:r>
          </w:p>
        </w:tc>
      </w:tr>
    </w:tbl>
    <w:p w14:paraId="557CEE38" w14:textId="77777777" w:rsidR="00A90A0A" w:rsidRPr="002959A9" w:rsidRDefault="00A90A0A" w:rsidP="003B1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34CBBEE6" w14:textId="77777777" w:rsidR="003B1401" w:rsidRPr="002959A9" w:rsidRDefault="00932F51" w:rsidP="003B1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959A9">
        <w:rPr>
          <w:rFonts w:ascii="Times New Roman" w:hAnsi="Times New Roman" w:cs="Times New Roman"/>
          <w:sz w:val="24"/>
          <w:szCs w:val="24"/>
          <w:lang w:val="de-DE"/>
        </w:rPr>
        <w:lastRenderedPageBreak/>
        <w:t>REAKCIJA KRONIČNOG ODBACIVANJA</w:t>
      </w:r>
    </w:p>
    <w:p w14:paraId="07674E42" w14:textId="77777777" w:rsidR="009B1A3F" w:rsidRPr="002959A9" w:rsidRDefault="004E455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Reakciju kroničnog odbacivanja ili </w:t>
      </w:r>
      <w:r w:rsidR="008F22E2"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>Graft-versus-host</w:t>
      </w:r>
      <w:r w:rsidR="00DE754F"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disease</w:t>
      </w:r>
      <w:r w:rsidR="008F22E2"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(GVHD) promatra</w:t>
      </w:r>
      <w:r w:rsidR="00D22CB1"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 w:rsidR="008F22E2"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zaseban entitet i</w:t>
      </w:r>
      <w:r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visoko rizičan period (1, 4</w:t>
      </w:r>
      <w:r w:rsidR="00FB6FDF"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>, 18</w:t>
      </w:r>
      <w:r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  <w:r w:rsidR="00B73958"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Detaljnim pregledom usne šupljine na redovnim kontrolama moguća je rana dijagnostika i liječenje, stoga je uloga stomatologa od iznimne važnosti.</w:t>
      </w:r>
      <w:r w:rsidR="000A3B35"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73958"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>Odbacivanje predstavlja odgovor imunološkog sistema primatelja na transplantirani organ. Odbacivanje ne m</w:t>
      </w:r>
      <w:r w:rsidR="00C00C3C"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ora dovesti do oštećenja i/ili gubitka </w:t>
      </w:r>
      <w:r w:rsidR="00B73958"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>organa već može predstavljati vid adaptacije organizma primatelja na „strani“ organ</w:t>
      </w:r>
      <w:r w:rsidR="008F22E2"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73958"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F22E2"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>ali može i p</w:t>
      </w:r>
      <w:r w:rsidR="00B73958"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>redstavlja</w:t>
      </w:r>
      <w:r w:rsidR="008F22E2"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="00B73958"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glavnu komplikaciju i uzrok smrti kod pacijenata koji su transplantirali matične stanice. Ukoliko se javi do 100 dana nakon transplantacije govorimo o akutnoj GVHD koju karakteriziraju ulcerozne promjene na koži i sluznici (7, 18). Lihenoidne promjene, bolne ulceracije, hiposalivacija i preosjetljivost zuba su tipične promjene za kroničnu GVHD (1, 18).</w:t>
      </w:r>
      <w:r w:rsidR="005E7547"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bi se spriječilo odbacivanje</w:t>
      </w:r>
      <w:r w:rsidR="002912D2"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E7547"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indicirane su velike doze imunosupresiva. U slučaju odontogene infekcije, zbog povećanog rizika za komplikacije, potrebna je hospitalizacija (4). Kako je pacijent u stanju duboke imunosupresije, a funkcija organa je oslabljena, preporuka je pri invazivnim zahvatima antibiotski zaštititi pacijenta (6).</w:t>
      </w:r>
    </w:p>
    <w:p w14:paraId="2131DF25" w14:textId="77777777" w:rsidR="008F22E2" w:rsidRPr="002959A9" w:rsidRDefault="008F22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4A4584" w14:textId="77777777" w:rsidR="009B1A3F" w:rsidRPr="002959A9" w:rsidRDefault="00932F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>IMUNOSUPRESIVNA TERAPIJA</w:t>
      </w:r>
    </w:p>
    <w:p w14:paraId="69599FD5" w14:textId="77777777" w:rsidR="00FA7668" w:rsidRPr="002959A9" w:rsidRDefault="003B1401" w:rsidP="003B1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>Dugotrajna imunosupresivna terapija dovodi do brojnih komplikacija te je naglasak na prepoznavanju znakova i simptoma u usnoj šupljini. Pri svakom pregledu potrebno je isključiti hiperplaziju gingive (ciklosporin), piogeni granulom (takrolimus) te aftozne ulceracije (mTOR inhibitori) (1, 4, 1</w:t>
      </w:r>
      <w:r w:rsidR="00C64A0E"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>). Bolja oralna higijena i uklanjanje plak-retentivnih čimbenika poboljšat će zdravlje gingive i moguće komplikacije (infekcije) (1</w:t>
      </w:r>
      <w:r w:rsidR="00C64A0E"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Kod pacijenata koji su transplantirali organ, ciklosporin i takrolimus mogu dovesti do hipogeuzije ili ageuzije. Za pacijente s transplantiranim matičnim stanicama karakteristična je </w:t>
      </w:r>
      <w:r w:rsidR="002912D2"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kserostomija </w:t>
      </w:r>
      <w:r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>(1</w:t>
      </w:r>
      <w:r w:rsidR="00C64A0E"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Promjena modaliteta okusa i </w:t>
      </w:r>
      <w:r w:rsidR="002912D2"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>ks</w:t>
      </w:r>
      <w:r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erostomija su reverzibilne te je potrebno upozoriti pacijenta na promjene. </w:t>
      </w:r>
      <w:r w:rsidRPr="002959A9">
        <w:rPr>
          <w:rFonts w:ascii="Times New Roman" w:hAnsi="Times New Roman" w:cs="Times New Roman"/>
          <w:sz w:val="24"/>
          <w:szCs w:val="24"/>
        </w:rPr>
        <w:t>Zbog povećanog rizika od hipertenzije (ciklosporin, takrolimus, prednison) potrebno je kontrolirati krvni tlak (1, 4, 1</w:t>
      </w:r>
      <w:r w:rsidR="00C64A0E" w:rsidRPr="002959A9">
        <w:rPr>
          <w:rFonts w:ascii="Times New Roman" w:hAnsi="Times New Roman" w:cs="Times New Roman"/>
          <w:sz w:val="24"/>
          <w:szCs w:val="24"/>
        </w:rPr>
        <w:t>8</w:t>
      </w:r>
      <w:r w:rsidRPr="002959A9">
        <w:rPr>
          <w:rFonts w:ascii="Times New Roman" w:hAnsi="Times New Roman" w:cs="Times New Roman"/>
          <w:sz w:val="24"/>
          <w:szCs w:val="24"/>
        </w:rPr>
        <w:t>). Neki imunosupresivi (azatioprin) uzrokuju mijelosupresiju i povećavaju rizik krvarenja (1</w:t>
      </w:r>
      <w:r w:rsidR="00C64A0E" w:rsidRPr="002959A9">
        <w:rPr>
          <w:rFonts w:ascii="Times New Roman" w:hAnsi="Times New Roman" w:cs="Times New Roman"/>
          <w:sz w:val="24"/>
          <w:szCs w:val="24"/>
        </w:rPr>
        <w:t>8</w:t>
      </w:r>
      <w:r w:rsidR="00C00C3C" w:rsidRPr="002959A9">
        <w:rPr>
          <w:rFonts w:ascii="Times New Roman" w:hAnsi="Times New Roman" w:cs="Times New Roman"/>
          <w:sz w:val="24"/>
          <w:szCs w:val="24"/>
        </w:rPr>
        <w:t xml:space="preserve">). </w:t>
      </w:r>
      <w:r w:rsidRPr="002959A9">
        <w:rPr>
          <w:rFonts w:ascii="Times New Roman" w:hAnsi="Times New Roman" w:cs="Times New Roman"/>
          <w:sz w:val="24"/>
          <w:szCs w:val="24"/>
        </w:rPr>
        <w:t>Također dugotrajna terapija kortikosteroidima pridonosi gubitku koštane mase (osteoporoza). Ova promjena je ireverzibilna te je potreban oprez pri</w:t>
      </w:r>
      <w:r w:rsidR="00AE53E4" w:rsidRPr="002959A9">
        <w:rPr>
          <w:rFonts w:ascii="Times New Roman" w:hAnsi="Times New Roman" w:cs="Times New Roman"/>
          <w:sz w:val="24"/>
          <w:szCs w:val="24"/>
        </w:rPr>
        <w:t>likom</w:t>
      </w:r>
      <w:r w:rsidRPr="002959A9">
        <w:rPr>
          <w:rFonts w:ascii="Times New Roman" w:hAnsi="Times New Roman" w:cs="Times New Roman"/>
          <w:sz w:val="24"/>
          <w:szCs w:val="24"/>
        </w:rPr>
        <w:t xml:space="preserve"> invazivni</w:t>
      </w:r>
      <w:r w:rsidR="00AE53E4" w:rsidRPr="002959A9">
        <w:rPr>
          <w:rFonts w:ascii="Times New Roman" w:hAnsi="Times New Roman" w:cs="Times New Roman"/>
          <w:sz w:val="24"/>
          <w:szCs w:val="24"/>
        </w:rPr>
        <w:t>h</w:t>
      </w:r>
      <w:r w:rsidRPr="002959A9">
        <w:rPr>
          <w:rFonts w:ascii="Times New Roman" w:hAnsi="Times New Roman" w:cs="Times New Roman"/>
          <w:sz w:val="24"/>
          <w:szCs w:val="24"/>
        </w:rPr>
        <w:t xml:space="preserve"> zahvata (4, 1</w:t>
      </w:r>
      <w:r w:rsidR="00C64A0E" w:rsidRPr="002959A9">
        <w:rPr>
          <w:rFonts w:ascii="Times New Roman" w:hAnsi="Times New Roman" w:cs="Times New Roman"/>
          <w:sz w:val="24"/>
          <w:szCs w:val="24"/>
        </w:rPr>
        <w:t>8</w:t>
      </w:r>
      <w:r w:rsidRPr="002959A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E55A824" w14:textId="77777777" w:rsidR="003B1401" w:rsidRPr="002959A9" w:rsidRDefault="003B1401" w:rsidP="00FE64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9A9">
        <w:rPr>
          <w:rFonts w:ascii="Times New Roman" w:hAnsi="Times New Roman" w:cs="Times New Roman"/>
          <w:sz w:val="24"/>
          <w:szCs w:val="24"/>
        </w:rPr>
        <w:t xml:space="preserve">Zbog primjene egzogenih kortikosteroida dolazi do atrofije nadbubrežne žlijezde i potencijalne adrenalne krize. U literaturi pronalazimo brojne rasprave o potrebi za dodatnim </w:t>
      </w:r>
      <w:r w:rsidRPr="002959A9">
        <w:rPr>
          <w:rFonts w:ascii="Times New Roman" w:hAnsi="Times New Roman" w:cs="Times New Roman"/>
          <w:sz w:val="24"/>
          <w:szCs w:val="24"/>
        </w:rPr>
        <w:lastRenderedPageBreak/>
        <w:t>dozama kortikosteroida (hidrokortizon) (</w:t>
      </w:r>
      <w:r w:rsidR="00C64A0E" w:rsidRPr="002959A9">
        <w:rPr>
          <w:rFonts w:ascii="Times New Roman" w:hAnsi="Times New Roman" w:cs="Times New Roman"/>
          <w:sz w:val="24"/>
          <w:szCs w:val="24"/>
        </w:rPr>
        <w:t>20</w:t>
      </w:r>
      <w:r w:rsidRPr="002959A9">
        <w:rPr>
          <w:rFonts w:ascii="Times New Roman" w:hAnsi="Times New Roman" w:cs="Times New Roman"/>
          <w:sz w:val="24"/>
          <w:szCs w:val="24"/>
        </w:rPr>
        <w:t xml:space="preserve">, </w:t>
      </w:r>
      <w:r w:rsidR="00C64A0E" w:rsidRPr="002959A9">
        <w:rPr>
          <w:rFonts w:ascii="Times New Roman" w:hAnsi="Times New Roman" w:cs="Times New Roman"/>
          <w:sz w:val="24"/>
          <w:szCs w:val="24"/>
        </w:rPr>
        <w:t>21</w:t>
      </w:r>
      <w:r w:rsidRPr="002959A9">
        <w:rPr>
          <w:rFonts w:ascii="Times New Roman" w:hAnsi="Times New Roman" w:cs="Times New Roman"/>
          <w:sz w:val="24"/>
          <w:szCs w:val="24"/>
        </w:rPr>
        <w:t>). Potreban je klinički pregled (krvni tlak- hipotenzija) i testiranje funkcije nadbubrežne žlijezde (ACTH stimulacija i mjerenje razina kortizola) (</w:t>
      </w:r>
      <w:r w:rsidR="00C64A0E" w:rsidRPr="002959A9">
        <w:rPr>
          <w:rFonts w:ascii="Times New Roman" w:hAnsi="Times New Roman" w:cs="Times New Roman"/>
          <w:sz w:val="24"/>
          <w:szCs w:val="24"/>
        </w:rPr>
        <w:t>20</w:t>
      </w:r>
      <w:r w:rsidRPr="002959A9">
        <w:rPr>
          <w:rFonts w:ascii="Times New Roman" w:hAnsi="Times New Roman" w:cs="Times New Roman"/>
          <w:sz w:val="24"/>
          <w:szCs w:val="24"/>
        </w:rPr>
        <w:t xml:space="preserve">, </w:t>
      </w:r>
      <w:r w:rsidR="00C64A0E" w:rsidRPr="002959A9">
        <w:rPr>
          <w:rFonts w:ascii="Times New Roman" w:hAnsi="Times New Roman" w:cs="Times New Roman"/>
          <w:sz w:val="24"/>
          <w:szCs w:val="24"/>
        </w:rPr>
        <w:t>21</w:t>
      </w:r>
      <w:r w:rsidRPr="002959A9">
        <w:rPr>
          <w:rFonts w:ascii="Times New Roman" w:hAnsi="Times New Roman" w:cs="Times New Roman"/>
          <w:sz w:val="24"/>
          <w:szCs w:val="24"/>
        </w:rPr>
        <w:t>). Kod pacijenata sa smanjenim rizikom od adrenalne krize (pacijenti koji su liječeni bilo kojom dozom glukokortikoida manje od 3</w:t>
      </w:r>
      <w:r w:rsidR="002912D2" w:rsidRPr="002959A9">
        <w:rPr>
          <w:rFonts w:ascii="Times New Roman" w:hAnsi="Times New Roman" w:cs="Times New Roman"/>
          <w:sz w:val="24"/>
          <w:szCs w:val="24"/>
        </w:rPr>
        <w:t xml:space="preserve"> </w:t>
      </w:r>
      <w:r w:rsidRPr="002959A9">
        <w:rPr>
          <w:rFonts w:ascii="Times New Roman" w:hAnsi="Times New Roman" w:cs="Times New Roman"/>
          <w:sz w:val="24"/>
          <w:szCs w:val="24"/>
        </w:rPr>
        <w:t>tj</w:t>
      </w:r>
      <w:r w:rsidR="002912D2" w:rsidRPr="002959A9">
        <w:rPr>
          <w:rFonts w:ascii="Times New Roman" w:hAnsi="Times New Roman" w:cs="Times New Roman"/>
          <w:sz w:val="24"/>
          <w:szCs w:val="24"/>
        </w:rPr>
        <w:t>edna</w:t>
      </w:r>
      <w:r w:rsidRPr="002959A9">
        <w:rPr>
          <w:rFonts w:ascii="Times New Roman" w:hAnsi="Times New Roman" w:cs="Times New Roman"/>
          <w:sz w:val="24"/>
          <w:szCs w:val="24"/>
        </w:rPr>
        <w:t>, jutarnje doze prednizona 5mg/dan ili prednizon 10mg/dan-svaki drugi dan) nisu potrebne dodatne doze. Pacijenti kojima je dijagnosticirana sekundarna adrenalna insuficijencija, Cushing</w:t>
      </w:r>
      <w:r w:rsidR="002912D2" w:rsidRPr="002959A9">
        <w:rPr>
          <w:rFonts w:ascii="Times New Roman" w:hAnsi="Times New Roman" w:cs="Times New Roman"/>
          <w:sz w:val="24"/>
          <w:szCs w:val="24"/>
        </w:rPr>
        <w:t>ov</w:t>
      </w:r>
      <w:r w:rsidRPr="002959A9">
        <w:rPr>
          <w:rFonts w:ascii="Times New Roman" w:hAnsi="Times New Roman" w:cs="Times New Roman"/>
          <w:sz w:val="24"/>
          <w:szCs w:val="24"/>
        </w:rPr>
        <w:t xml:space="preserve"> sindrom i koji su na terapiji duže od 3</w:t>
      </w:r>
      <w:r w:rsidR="002912D2" w:rsidRPr="002959A9">
        <w:rPr>
          <w:rFonts w:ascii="Times New Roman" w:hAnsi="Times New Roman" w:cs="Times New Roman"/>
          <w:sz w:val="24"/>
          <w:szCs w:val="24"/>
        </w:rPr>
        <w:t xml:space="preserve"> </w:t>
      </w:r>
      <w:r w:rsidRPr="002959A9">
        <w:rPr>
          <w:rFonts w:ascii="Times New Roman" w:hAnsi="Times New Roman" w:cs="Times New Roman"/>
          <w:sz w:val="24"/>
          <w:szCs w:val="24"/>
        </w:rPr>
        <w:t>tj</w:t>
      </w:r>
      <w:r w:rsidR="002912D2" w:rsidRPr="002959A9">
        <w:rPr>
          <w:rFonts w:ascii="Times New Roman" w:hAnsi="Times New Roman" w:cs="Times New Roman"/>
          <w:sz w:val="24"/>
          <w:szCs w:val="24"/>
        </w:rPr>
        <w:t>edna</w:t>
      </w:r>
      <w:r w:rsidRPr="002959A9">
        <w:rPr>
          <w:rFonts w:ascii="Times New Roman" w:hAnsi="Times New Roman" w:cs="Times New Roman"/>
          <w:sz w:val="24"/>
          <w:szCs w:val="24"/>
        </w:rPr>
        <w:t xml:space="preserve"> (20mg/dan prednison) imaju veliki rizik od adrenalne krize te je indicirana dodatna doza kortikosteroida prije invazivnih zahvata (</w:t>
      </w:r>
      <w:r w:rsidR="00C64A0E" w:rsidRPr="002959A9">
        <w:rPr>
          <w:rFonts w:ascii="Times New Roman" w:hAnsi="Times New Roman" w:cs="Times New Roman"/>
          <w:sz w:val="24"/>
          <w:szCs w:val="24"/>
        </w:rPr>
        <w:t>20</w:t>
      </w:r>
      <w:r w:rsidR="001C47B6" w:rsidRPr="002959A9">
        <w:rPr>
          <w:rFonts w:ascii="Times New Roman" w:hAnsi="Times New Roman" w:cs="Times New Roman"/>
          <w:sz w:val="24"/>
          <w:szCs w:val="24"/>
        </w:rPr>
        <w:t xml:space="preserve">) </w:t>
      </w:r>
      <w:r w:rsidR="003744AE" w:rsidRPr="002959A9">
        <w:rPr>
          <w:rFonts w:ascii="Times New Roman" w:hAnsi="Times New Roman" w:cs="Times New Roman"/>
          <w:sz w:val="24"/>
          <w:szCs w:val="24"/>
        </w:rPr>
        <w:t>(Tablica 4)</w:t>
      </w:r>
      <w:r w:rsidR="00DE754F" w:rsidRPr="002959A9">
        <w:rPr>
          <w:rFonts w:ascii="Times New Roman" w:hAnsi="Times New Roman" w:cs="Times New Roman"/>
          <w:sz w:val="24"/>
          <w:szCs w:val="24"/>
        </w:rPr>
        <w:t>.</w:t>
      </w:r>
      <w:r w:rsidRPr="002959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>Pri svakom pregledu potrebno je isključiti pojavu oralnog karcinoma. Svi transplantirani pacijenti, s naglaskom na primatelje matičnih stanica, imaju povećani rizik od razvoja sekundarnog maligniteta</w:t>
      </w:r>
      <w:r w:rsidR="00756197"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posttransplantacijskom periodu</w:t>
      </w:r>
      <w:r w:rsidR="006761E4"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>(1, 4, 1</w:t>
      </w:r>
      <w:r w:rsidR="00C64A0E"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272026ED" w14:textId="77777777" w:rsidR="00BE44E8" w:rsidRPr="002959A9" w:rsidRDefault="00BE44E8" w:rsidP="00FE641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820E45" w14:textId="77777777" w:rsidR="003744AE" w:rsidRPr="002959A9" w:rsidRDefault="003744AE" w:rsidP="00A90A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959A9">
        <w:rPr>
          <w:rFonts w:ascii="Times New Roman" w:hAnsi="Times New Roman" w:cs="Times New Roman"/>
          <w:color w:val="000000" w:themeColor="text1"/>
        </w:rPr>
        <w:t>Tablica 4. Preporuka za dodatnu kortikosteroidnu terapiju. Preuzeto i prerarađeno iz (1).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2"/>
        <w:gridCol w:w="3021"/>
        <w:gridCol w:w="3139"/>
      </w:tblGrid>
      <w:tr w:rsidR="00C91D29" w:rsidRPr="002959A9" w14:paraId="667D7762" w14:textId="77777777" w:rsidTr="00A90A0A">
        <w:tc>
          <w:tcPr>
            <w:tcW w:w="2912" w:type="dxa"/>
            <w:shd w:val="clear" w:color="auto" w:fill="9CC2E5" w:themeFill="accent1" w:themeFillTint="99"/>
            <w:vAlign w:val="center"/>
          </w:tcPr>
          <w:p w14:paraId="736A1B12" w14:textId="77777777" w:rsidR="00C91D29" w:rsidRPr="002959A9" w:rsidRDefault="00C91D29" w:rsidP="00A90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9A9">
              <w:rPr>
                <w:rFonts w:ascii="Times New Roman" w:hAnsi="Times New Roman" w:cs="Times New Roman"/>
                <w:b/>
              </w:rPr>
              <w:t>INVAZIVNI ZAHVAT / STRES</w:t>
            </w:r>
          </w:p>
        </w:tc>
        <w:tc>
          <w:tcPr>
            <w:tcW w:w="3021" w:type="dxa"/>
            <w:shd w:val="clear" w:color="auto" w:fill="9CC2E5" w:themeFill="accent1" w:themeFillTint="99"/>
            <w:vAlign w:val="center"/>
          </w:tcPr>
          <w:p w14:paraId="489D6F9C" w14:textId="77777777" w:rsidR="00C91D29" w:rsidRPr="002959A9" w:rsidRDefault="00C91D29" w:rsidP="00A90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9A9">
              <w:rPr>
                <w:rFonts w:ascii="Times New Roman" w:hAnsi="Times New Roman" w:cs="Times New Roman"/>
                <w:b/>
              </w:rPr>
              <w:t xml:space="preserve">PREOPERATIVNO </w:t>
            </w:r>
          </w:p>
        </w:tc>
        <w:tc>
          <w:tcPr>
            <w:tcW w:w="3139" w:type="dxa"/>
            <w:shd w:val="clear" w:color="auto" w:fill="9CC2E5" w:themeFill="accent1" w:themeFillTint="99"/>
            <w:vAlign w:val="center"/>
          </w:tcPr>
          <w:p w14:paraId="5ACF8711" w14:textId="77777777" w:rsidR="00C91D29" w:rsidRPr="002959A9" w:rsidRDefault="00C91D29" w:rsidP="00A90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9A9">
              <w:rPr>
                <w:rFonts w:ascii="Times New Roman" w:hAnsi="Times New Roman" w:cs="Times New Roman"/>
                <w:b/>
              </w:rPr>
              <w:t>POSTOPERATIVNO (1.DAN)</w:t>
            </w:r>
          </w:p>
        </w:tc>
      </w:tr>
      <w:tr w:rsidR="00C91D29" w:rsidRPr="002959A9" w14:paraId="7B237124" w14:textId="77777777" w:rsidTr="00A90A0A">
        <w:trPr>
          <w:trHeight w:val="695"/>
        </w:trPr>
        <w:tc>
          <w:tcPr>
            <w:tcW w:w="2912" w:type="dxa"/>
            <w:shd w:val="clear" w:color="auto" w:fill="9CC2E5" w:themeFill="accent1" w:themeFillTint="99"/>
            <w:vAlign w:val="center"/>
          </w:tcPr>
          <w:p w14:paraId="7659CD21" w14:textId="77777777" w:rsidR="00C91D29" w:rsidRPr="002959A9" w:rsidRDefault="00C91D29" w:rsidP="00600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9A9">
              <w:rPr>
                <w:rFonts w:ascii="Times New Roman" w:hAnsi="Times New Roman" w:cs="Times New Roman"/>
                <w:b/>
              </w:rPr>
              <w:t>MINIMALAN</w:t>
            </w:r>
          </w:p>
        </w:tc>
        <w:tc>
          <w:tcPr>
            <w:tcW w:w="3021" w:type="dxa"/>
            <w:shd w:val="clear" w:color="auto" w:fill="DEEAF6" w:themeFill="accent1" w:themeFillTint="33"/>
            <w:vAlign w:val="center"/>
          </w:tcPr>
          <w:p w14:paraId="6E1F65B8" w14:textId="77777777" w:rsidR="00C91D29" w:rsidRPr="002959A9" w:rsidRDefault="00C91D29" w:rsidP="0060055C">
            <w:pPr>
              <w:jc w:val="center"/>
              <w:rPr>
                <w:rFonts w:ascii="Times New Roman" w:hAnsi="Times New Roman" w:cs="Times New Roman"/>
              </w:rPr>
            </w:pPr>
            <w:r w:rsidRPr="002959A9">
              <w:rPr>
                <w:rFonts w:ascii="Times New Roman" w:hAnsi="Times New Roman" w:cs="Times New Roman"/>
              </w:rPr>
              <w:t xml:space="preserve">25 mg/dan hidrokortizona </w:t>
            </w:r>
          </w:p>
        </w:tc>
        <w:tc>
          <w:tcPr>
            <w:tcW w:w="3139" w:type="dxa"/>
            <w:shd w:val="clear" w:color="auto" w:fill="DEEAF6" w:themeFill="accent1" w:themeFillTint="33"/>
            <w:vAlign w:val="center"/>
          </w:tcPr>
          <w:p w14:paraId="458E3210" w14:textId="77777777" w:rsidR="00C91D29" w:rsidRPr="002959A9" w:rsidRDefault="00C91D29" w:rsidP="006005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D29" w:rsidRPr="002959A9" w14:paraId="63C82BA8" w14:textId="77777777" w:rsidTr="00A90A0A">
        <w:tc>
          <w:tcPr>
            <w:tcW w:w="2912" w:type="dxa"/>
            <w:shd w:val="clear" w:color="auto" w:fill="9CC2E5" w:themeFill="accent1" w:themeFillTint="99"/>
            <w:vAlign w:val="center"/>
          </w:tcPr>
          <w:p w14:paraId="19B87069" w14:textId="77777777" w:rsidR="00C91D29" w:rsidRPr="002959A9" w:rsidRDefault="00C91D29" w:rsidP="00600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9A9">
              <w:rPr>
                <w:rFonts w:ascii="Times New Roman" w:hAnsi="Times New Roman" w:cs="Times New Roman"/>
                <w:b/>
              </w:rPr>
              <w:t>UMJEREN</w:t>
            </w:r>
          </w:p>
        </w:tc>
        <w:tc>
          <w:tcPr>
            <w:tcW w:w="3021" w:type="dxa"/>
            <w:shd w:val="clear" w:color="auto" w:fill="DEEAF6" w:themeFill="accent1" w:themeFillTint="33"/>
            <w:vAlign w:val="center"/>
          </w:tcPr>
          <w:p w14:paraId="53BD2936" w14:textId="77777777" w:rsidR="00C91D29" w:rsidRPr="002959A9" w:rsidRDefault="00C91D29" w:rsidP="0060055C">
            <w:pPr>
              <w:jc w:val="center"/>
              <w:rPr>
                <w:rFonts w:ascii="Times New Roman" w:hAnsi="Times New Roman" w:cs="Times New Roman"/>
              </w:rPr>
            </w:pPr>
            <w:r w:rsidRPr="002959A9">
              <w:rPr>
                <w:rFonts w:ascii="Times New Roman" w:hAnsi="Times New Roman" w:cs="Times New Roman"/>
              </w:rPr>
              <w:t>50-75 mg/dan</w:t>
            </w:r>
          </w:p>
        </w:tc>
        <w:tc>
          <w:tcPr>
            <w:tcW w:w="3139" w:type="dxa"/>
            <w:shd w:val="clear" w:color="auto" w:fill="DEEAF6" w:themeFill="accent1" w:themeFillTint="33"/>
            <w:vAlign w:val="center"/>
          </w:tcPr>
          <w:p w14:paraId="1AE2D7E2" w14:textId="77777777" w:rsidR="00C91D29" w:rsidRPr="002959A9" w:rsidRDefault="00C91D29" w:rsidP="0060055C">
            <w:pPr>
              <w:jc w:val="center"/>
              <w:rPr>
                <w:rFonts w:ascii="Times New Roman" w:hAnsi="Times New Roman" w:cs="Times New Roman"/>
              </w:rPr>
            </w:pPr>
            <w:r w:rsidRPr="002959A9">
              <w:rPr>
                <w:rFonts w:ascii="Times New Roman" w:hAnsi="Times New Roman" w:cs="Times New Roman"/>
              </w:rPr>
              <w:t>50-75 mg/dan hidrokortizona</w:t>
            </w:r>
          </w:p>
          <w:p w14:paraId="0B80B5B9" w14:textId="77777777" w:rsidR="00C91D29" w:rsidRPr="002959A9" w:rsidRDefault="00C91D29" w:rsidP="0060055C">
            <w:pPr>
              <w:jc w:val="center"/>
              <w:rPr>
                <w:rFonts w:ascii="Times New Roman" w:hAnsi="Times New Roman" w:cs="Times New Roman"/>
              </w:rPr>
            </w:pPr>
            <w:r w:rsidRPr="002959A9">
              <w:rPr>
                <w:rFonts w:ascii="Times New Roman" w:hAnsi="Times New Roman" w:cs="Times New Roman"/>
              </w:rPr>
              <w:t>(2.dan- početna terapijaska doza)</w:t>
            </w:r>
          </w:p>
        </w:tc>
      </w:tr>
      <w:tr w:rsidR="00C91D29" w:rsidRPr="002959A9" w14:paraId="638C4C9B" w14:textId="77777777" w:rsidTr="00A90A0A">
        <w:tc>
          <w:tcPr>
            <w:tcW w:w="2912" w:type="dxa"/>
            <w:shd w:val="clear" w:color="auto" w:fill="9CC2E5" w:themeFill="accent1" w:themeFillTint="99"/>
            <w:vAlign w:val="center"/>
          </w:tcPr>
          <w:p w14:paraId="113FC7BE" w14:textId="77777777" w:rsidR="00C91D29" w:rsidRPr="002959A9" w:rsidRDefault="00C91D29" w:rsidP="00600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9A9">
              <w:rPr>
                <w:rFonts w:ascii="Times New Roman" w:hAnsi="Times New Roman" w:cs="Times New Roman"/>
                <w:b/>
              </w:rPr>
              <w:t>VELIKI</w:t>
            </w:r>
          </w:p>
        </w:tc>
        <w:tc>
          <w:tcPr>
            <w:tcW w:w="3021" w:type="dxa"/>
            <w:shd w:val="clear" w:color="auto" w:fill="DEEAF6" w:themeFill="accent1" w:themeFillTint="33"/>
            <w:vAlign w:val="center"/>
          </w:tcPr>
          <w:p w14:paraId="56DE733A" w14:textId="77777777" w:rsidR="00C91D29" w:rsidRPr="002959A9" w:rsidRDefault="00C91D29" w:rsidP="0060055C">
            <w:pPr>
              <w:jc w:val="center"/>
              <w:rPr>
                <w:rFonts w:ascii="Times New Roman" w:hAnsi="Times New Roman" w:cs="Times New Roman"/>
              </w:rPr>
            </w:pPr>
            <w:r w:rsidRPr="002959A9">
              <w:rPr>
                <w:rFonts w:ascii="Times New Roman" w:hAnsi="Times New Roman" w:cs="Times New Roman"/>
              </w:rPr>
              <w:t>100-150 mg/dan (2-3 dana prije operacije)</w:t>
            </w:r>
          </w:p>
        </w:tc>
        <w:tc>
          <w:tcPr>
            <w:tcW w:w="3139" w:type="dxa"/>
            <w:shd w:val="clear" w:color="auto" w:fill="DEEAF6" w:themeFill="accent1" w:themeFillTint="33"/>
            <w:vAlign w:val="center"/>
          </w:tcPr>
          <w:p w14:paraId="2EF7628B" w14:textId="77777777" w:rsidR="00C91D29" w:rsidRPr="002959A9" w:rsidRDefault="00C91D29" w:rsidP="0060055C">
            <w:pPr>
              <w:jc w:val="center"/>
              <w:rPr>
                <w:rFonts w:ascii="Times New Roman" w:hAnsi="Times New Roman" w:cs="Times New Roman"/>
              </w:rPr>
            </w:pPr>
            <w:r w:rsidRPr="002959A9">
              <w:rPr>
                <w:rFonts w:ascii="Times New Roman" w:hAnsi="Times New Roman" w:cs="Times New Roman"/>
              </w:rPr>
              <w:t>početna terapijska doza i 50 mg/8h hidrokortizona (48-72h)</w:t>
            </w:r>
          </w:p>
        </w:tc>
      </w:tr>
    </w:tbl>
    <w:p w14:paraId="1863B58C" w14:textId="77777777" w:rsidR="00034A2A" w:rsidRPr="002959A9" w:rsidRDefault="00034A2A" w:rsidP="003B14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386A2A" w14:textId="77777777" w:rsidR="006256EB" w:rsidRPr="002959A9" w:rsidRDefault="006256EB" w:rsidP="003B140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4DB0D6" w14:textId="77777777" w:rsidR="002E108F" w:rsidRPr="002959A9" w:rsidRDefault="002E108F" w:rsidP="003B140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>ZAKLJUČAK</w:t>
      </w:r>
    </w:p>
    <w:p w14:paraId="1685EAF2" w14:textId="77777777" w:rsidR="002E108F" w:rsidRPr="002959A9" w:rsidRDefault="003D0EB8" w:rsidP="00932F5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>Uloga stomatološkog tima u liječenju transplantiranih pacijenata</w:t>
      </w:r>
      <w:r w:rsidR="00F00CF4"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  <w:r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neizbježna.</w:t>
      </w:r>
      <w:r w:rsidR="00CC1148"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Razvojem imunologije i medicinske tehnologije važna je kontinuirana edukacija, uključujući doktora dentalne medicine. Kako bi se smanjile komplikacije (odbacivanje organa, smrt) potrebno je iznimno medicinsko znanje i suradnja cijelog transplantacijskog tima. Pravovremenim i pravilnim dentalnim liječenjem omogućit ćemo transplantiranom pacijentu bolju kvalitetu života.</w:t>
      </w:r>
      <w:r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A92FA4A" w14:textId="77777777" w:rsidR="006761E4" w:rsidRPr="002959A9" w:rsidRDefault="006761E4" w:rsidP="003B140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p w14:paraId="6398C172" w14:textId="77777777" w:rsidR="00FE6414" w:rsidRPr="002959A9" w:rsidRDefault="00FE6414" w:rsidP="003B140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p w14:paraId="76422713" w14:textId="77777777" w:rsidR="00FE6414" w:rsidRPr="002959A9" w:rsidRDefault="00FE6414" w:rsidP="003B140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p w14:paraId="62E1FCFC" w14:textId="77777777" w:rsidR="006761E4" w:rsidRPr="002959A9" w:rsidRDefault="006761E4" w:rsidP="006761E4">
      <w:pPr>
        <w:rPr>
          <w:rFonts w:ascii="Times New Roman" w:hAnsi="Times New Roman" w:cs="Times New Roman"/>
          <w:sz w:val="24"/>
          <w:szCs w:val="24"/>
        </w:rPr>
      </w:pPr>
      <w:r w:rsidRPr="002959A9">
        <w:rPr>
          <w:rFonts w:ascii="Times New Roman" w:hAnsi="Times New Roman" w:cs="Times New Roman"/>
          <w:sz w:val="24"/>
          <w:szCs w:val="24"/>
        </w:rPr>
        <w:lastRenderedPageBreak/>
        <w:t>Literatura</w:t>
      </w:r>
    </w:p>
    <w:p w14:paraId="12B33DC5" w14:textId="77777777" w:rsidR="006761E4" w:rsidRPr="002959A9" w:rsidRDefault="006761E4" w:rsidP="006761E4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59A9">
        <w:rPr>
          <w:rFonts w:ascii="Times New Roman" w:hAnsi="Times New Roman" w:cs="Times New Roman"/>
          <w:sz w:val="24"/>
          <w:szCs w:val="24"/>
        </w:rPr>
        <w:t>Little JW, Miller CS, Rhodus NL. Dental management of the medically compromised patient. 9th ed. St. Louis, Missouri: Elsevier; 2018.</w:t>
      </w:r>
    </w:p>
    <w:p w14:paraId="01556977" w14:textId="77777777" w:rsidR="006761E4" w:rsidRPr="002959A9" w:rsidRDefault="006761E4" w:rsidP="006761E4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59A9">
        <w:rPr>
          <w:rFonts w:ascii="Times New Roman" w:hAnsi="Times New Roman" w:cs="Times New Roman"/>
          <w:sz w:val="24"/>
          <w:szCs w:val="24"/>
        </w:rPr>
        <w:t>Guggenheimer J, Eghtesad B, Stock DJ. Dental management of the (solid) organ transplant patient</w:t>
      </w:r>
      <w:r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9" w:tooltip="Oral surgery, oral medicine, oral pathology, oral radiology, and endodontics." w:history="1">
        <w:r w:rsidRPr="002959A9">
          <w:rPr>
            <w:rFonts w:ascii="Times New Roman" w:hAnsi="Times New Roman" w:cs="Times New Roman"/>
            <w:color w:val="000000" w:themeColor="text1"/>
            <w:sz w:val="24"/>
            <w:szCs w:val="24"/>
          </w:rPr>
          <w:t>Oral Surg Oral Med Oral Pathol Oral Radiol Endod.</w:t>
        </w:r>
      </w:hyperlink>
      <w:r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2003;95(4):383-9.</w:t>
      </w:r>
    </w:p>
    <w:p w14:paraId="44BBA4DD" w14:textId="77777777" w:rsidR="006761E4" w:rsidRPr="002959A9" w:rsidRDefault="006761E4" w:rsidP="006761E4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9A9">
        <w:rPr>
          <w:rFonts w:ascii="Times New Roman" w:hAnsi="Times New Roman" w:cs="Times New Roman"/>
          <w:sz w:val="24"/>
          <w:szCs w:val="24"/>
        </w:rPr>
        <w:t xml:space="preserve">Somacarrera ML, Lucas M, Cuervas-Mons V, </w:t>
      </w:r>
      <w:hyperlink r:id="rId10" w:history="1">
        <w:r w:rsidRPr="002959A9">
          <w:rPr>
            <w:rFonts w:ascii="Times New Roman" w:hAnsi="Times New Roman" w:cs="Times New Roman"/>
            <w:color w:val="000000" w:themeColor="text1"/>
            <w:sz w:val="24"/>
            <w:szCs w:val="24"/>
          </w:rPr>
          <w:t>Hernández G</w:t>
        </w:r>
      </w:hyperlink>
      <w:r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Oral care planning and handling of immunosuppressed heart, liver, and kidney transplant patients. </w:t>
      </w:r>
      <w:hyperlink r:id="rId11" w:tooltip="Special care in dentistry : official publication of the American Association of Hospital Dentists, the Academy of Dentistry for the Handicapped, and the American Society for Geriatric Dentistry." w:history="1">
        <w:r w:rsidR="00CE317A" w:rsidRPr="002959A9">
          <w:rPr>
            <w:rFonts w:ascii="Times New Roman" w:hAnsi="Times New Roman" w:cs="Times New Roman"/>
            <w:color w:val="000000" w:themeColor="text1"/>
            <w:sz w:val="24"/>
            <w:szCs w:val="24"/>
          </w:rPr>
          <w:t>Spec Care Dent</w:t>
        </w:r>
        <w:r w:rsidRPr="002959A9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</w:hyperlink>
      <w:r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1996;16(6):242-6.</w:t>
      </w:r>
    </w:p>
    <w:p w14:paraId="6DB099AF" w14:textId="77777777" w:rsidR="006761E4" w:rsidRPr="002959A9" w:rsidRDefault="006761E4" w:rsidP="006761E4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Fabuel LC, Gavalda-Esteve C, Sarrión-Pérez MG. Dental management in transplant patient. </w:t>
      </w:r>
      <w:r w:rsidRPr="002959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 Clin Exp Dent. 2011;3(1):43-52. </w:t>
      </w:r>
    </w:p>
    <w:p w14:paraId="2B04CD5B" w14:textId="77777777" w:rsidR="006A375E" w:rsidRPr="002959A9" w:rsidRDefault="0070180A" w:rsidP="0070180A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>Hrvatska donorska mreža</w:t>
      </w:r>
      <w:r w:rsidR="005920B3"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[Internet]</w:t>
      </w:r>
      <w:r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>. Zagreb</w:t>
      </w:r>
      <w:r w:rsidR="00864714"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>: Nacionalni transplantacijski program;</w:t>
      </w:r>
      <w:r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 [citied 2017 Aug 21]. Available from: http://www.hdm.hr/podaci-za-hrvatsku/</w:t>
      </w:r>
    </w:p>
    <w:p w14:paraId="7246DC6B" w14:textId="77777777" w:rsidR="00C54B14" w:rsidRPr="002959A9" w:rsidRDefault="001C2AF3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59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Alajbeg I. Stomatološko liječenje bolesn</w:t>
      </w:r>
      <w:r w:rsidR="00CE317A" w:rsidRPr="002959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ika s</w:t>
      </w:r>
      <w:r w:rsidR="00C07DB3" w:rsidRPr="002959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transplantiranim organom. Medix</w:t>
      </w:r>
      <w:r w:rsidR="005920B3" w:rsidRPr="002959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2011;</w:t>
      </w:r>
      <w:r w:rsidR="00C86E05" w:rsidRPr="00CB2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17(</w:t>
      </w:r>
      <w:r w:rsidR="005920B3" w:rsidRPr="00CB2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92</w:t>
      </w:r>
      <w:r w:rsidR="00C7176E" w:rsidRPr="00CB2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/</w:t>
      </w:r>
      <w:r w:rsidR="00C86E05" w:rsidRPr="00CB2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</w:t>
      </w:r>
      <w:r w:rsidR="005920B3" w:rsidRPr="00CB2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="00C86E05" w:rsidRPr="00CB2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  <w:r w:rsidR="00C7176E" w:rsidRPr="00CB2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</w:t>
      </w:r>
      <w:r w:rsidR="00C71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256.</w:t>
      </w:r>
    </w:p>
    <w:p w14:paraId="2382F633" w14:textId="77777777" w:rsidR="00C945C9" w:rsidRPr="002959A9" w:rsidRDefault="00483935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6761E4" w:rsidRPr="002959A9">
          <w:rPr>
            <w:rFonts w:ascii="Times New Roman" w:hAnsi="Times New Roman" w:cs="Times New Roman"/>
            <w:color w:val="000000" w:themeColor="text1"/>
            <w:sz w:val="24"/>
            <w:szCs w:val="24"/>
          </w:rPr>
          <w:t>Durey K</w:t>
        </w:r>
      </w:hyperlink>
      <w:r w:rsidR="006761E4"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 w:history="1">
        <w:r w:rsidR="006761E4" w:rsidRPr="002959A9">
          <w:rPr>
            <w:rFonts w:ascii="Times New Roman" w:hAnsi="Times New Roman" w:cs="Times New Roman"/>
            <w:color w:val="000000" w:themeColor="text1"/>
            <w:sz w:val="24"/>
            <w:szCs w:val="24"/>
          </w:rPr>
          <w:t>Patterson H</w:t>
        </w:r>
      </w:hyperlink>
      <w:r w:rsidR="006761E4"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="006761E4" w:rsidRPr="002959A9">
          <w:rPr>
            <w:rFonts w:ascii="Times New Roman" w:hAnsi="Times New Roman" w:cs="Times New Roman"/>
            <w:color w:val="000000" w:themeColor="text1"/>
            <w:sz w:val="24"/>
            <w:szCs w:val="24"/>
          </w:rPr>
          <w:t>Gordon K</w:t>
        </w:r>
      </w:hyperlink>
      <w:r w:rsidR="006761E4"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Dental assessment prior to stem cell transplant: treatment need and barriers to care. </w:t>
      </w:r>
      <w:hyperlink r:id="rId15" w:tooltip="British dental journal." w:history="1">
        <w:r w:rsidR="006761E4" w:rsidRPr="002959A9">
          <w:rPr>
            <w:rFonts w:ascii="Times New Roman" w:hAnsi="Times New Roman" w:cs="Times New Roman"/>
            <w:color w:val="000000" w:themeColor="text1"/>
            <w:sz w:val="24"/>
            <w:szCs w:val="24"/>
          </w:rPr>
          <w:t>Br Dent J.</w:t>
        </w:r>
      </w:hyperlink>
      <w:r w:rsidR="006761E4"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2009;206(9):19</w:t>
      </w:r>
      <w:r w:rsidR="00C945C9"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2BC9C8" w14:textId="77777777" w:rsidR="006761E4" w:rsidRPr="002959A9" w:rsidRDefault="006761E4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Georgakopoulou EA, Achatari MD, Afentoulide N. </w:t>
      </w:r>
      <w:r w:rsidRPr="002959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Dental management of patients before and after renal transplantation. </w:t>
      </w:r>
      <w:r w:rsidR="00FF0C85" w:rsidRPr="002959A9">
        <w:rPr>
          <w:rFonts w:ascii="Times New Roman" w:hAnsi="Times New Roman" w:cs="Times New Roman"/>
          <w:sz w:val="24"/>
          <w:szCs w:val="24"/>
          <w:lang w:val="de-DE"/>
        </w:rPr>
        <w:t>Balt Dent</w:t>
      </w:r>
      <w:r w:rsidR="00CE317A" w:rsidRPr="002959A9">
        <w:rPr>
          <w:rFonts w:ascii="Times New Roman" w:hAnsi="Times New Roman" w:cs="Times New Roman"/>
          <w:sz w:val="24"/>
          <w:szCs w:val="24"/>
          <w:lang w:val="de-DE"/>
        </w:rPr>
        <w:t xml:space="preserve"> Maxillofac</w:t>
      </w:r>
      <w:r w:rsidR="00FF0C85" w:rsidRPr="002959A9">
        <w:rPr>
          <w:rFonts w:ascii="Times New Roman" w:hAnsi="Times New Roman" w:cs="Times New Roman"/>
          <w:sz w:val="24"/>
          <w:szCs w:val="24"/>
          <w:lang w:val="de-DE"/>
        </w:rPr>
        <w:t xml:space="preserve"> J</w:t>
      </w:r>
      <w:commentRangeStart w:id="1"/>
      <w:r w:rsidRPr="002959A9">
        <w:rPr>
          <w:rFonts w:ascii="Times New Roman" w:hAnsi="Times New Roman" w:cs="Times New Roman"/>
          <w:sz w:val="24"/>
          <w:szCs w:val="24"/>
          <w:lang w:val="de-DE"/>
        </w:rPr>
        <w:t>,</w:t>
      </w:r>
      <w:commentRangeEnd w:id="1"/>
      <w:r w:rsidR="00063076">
        <w:rPr>
          <w:rStyle w:val="CommentReference"/>
          <w:lang w:val="de-DE"/>
        </w:rPr>
        <w:commentReference w:id="1"/>
      </w:r>
      <w:r w:rsidR="0070180A" w:rsidRPr="002959A9">
        <w:rPr>
          <w:rFonts w:ascii="Times New Roman" w:hAnsi="Times New Roman" w:cs="Times New Roman"/>
          <w:sz w:val="24"/>
          <w:szCs w:val="24"/>
          <w:lang w:val="de-DE"/>
        </w:rPr>
        <w:t xml:space="preserve"> 2011;</w:t>
      </w:r>
      <w:r w:rsidR="00E90BC1" w:rsidRPr="00E90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13(4):107-12.</w:t>
      </w:r>
    </w:p>
    <w:p w14:paraId="14E8F3E5" w14:textId="77777777" w:rsidR="006761E4" w:rsidRPr="002959A9" w:rsidRDefault="006761E4" w:rsidP="006761E4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>Douglas LR, Douglass JB, Sieck JO, Smith PJ. Oral management of the patient with end-stage liver disease and liver transplant patient</w:t>
      </w:r>
      <w:r w:rsidRPr="002959A9">
        <w:rPr>
          <w:rFonts w:ascii="Times New Roman" w:hAnsi="Times New Roman" w:cs="Times New Roman"/>
          <w:sz w:val="24"/>
          <w:szCs w:val="24"/>
        </w:rPr>
        <w:t xml:space="preserve">. </w:t>
      </w:r>
      <w:hyperlink r:id="rId18" w:tooltip="Oral surgery, oral medicine, oral pathology, oral radiology, and endodontics." w:history="1">
        <w:r w:rsidRPr="002959A9">
          <w:rPr>
            <w:rFonts w:ascii="Times New Roman" w:hAnsi="Times New Roman" w:cs="Times New Roman"/>
            <w:sz w:val="24"/>
            <w:szCs w:val="24"/>
            <w:lang w:val="de-DE"/>
          </w:rPr>
          <w:t>Oral Surg Oral Med Oral Pathol Oral Radiol Endod.</w:t>
        </w:r>
      </w:hyperlink>
      <w:r w:rsidRPr="002959A9">
        <w:rPr>
          <w:rFonts w:ascii="Times New Roman" w:hAnsi="Times New Roman" w:cs="Times New Roman"/>
          <w:sz w:val="24"/>
          <w:szCs w:val="24"/>
          <w:lang w:val="de-DE"/>
        </w:rPr>
        <w:t xml:space="preserve"> 1998;86(1):55-64.</w:t>
      </w:r>
    </w:p>
    <w:p w14:paraId="47E163F2" w14:textId="77777777" w:rsidR="006761E4" w:rsidRPr="002959A9" w:rsidRDefault="006761E4" w:rsidP="006761E4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>Fishman JA</w:t>
      </w:r>
      <w:r w:rsidRPr="002959A9">
        <w:rPr>
          <w:rFonts w:ascii="Times New Roman" w:hAnsi="Times New Roman" w:cs="Times New Roman"/>
          <w:sz w:val="24"/>
          <w:szCs w:val="24"/>
        </w:rPr>
        <w:t xml:space="preserve">. Infection in solid-organ transplant recipients. </w:t>
      </w:r>
      <w:hyperlink r:id="rId19" w:tooltip="The New England journal of medicine." w:history="1">
        <w:r w:rsidRPr="002959A9">
          <w:rPr>
            <w:rFonts w:ascii="Times New Roman" w:hAnsi="Times New Roman" w:cs="Times New Roman"/>
            <w:sz w:val="24"/>
            <w:szCs w:val="24"/>
            <w:lang w:val="de-DE"/>
          </w:rPr>
          <w:t>N Engl J Med.</w:t>
        </w:r>
      </w:hyperlink>
      <w:r w:rsidRPr="002959A9">
        <w:rPr>
          <w:rFonts w:ascii="Times New Roman" w:hAnsi="Times New Roman" w:cs="Times New Roman"/>
          <w:sz w:val="24"/>
          <w:szCs w:val="24"/>
          <w:lang w:val="de-DE"/>
        </w:rPr>
        <w:t xml:space="preserve"> 2007</w:t>
      </w:r>
      <w:r w:rsidR="00C945C9" w:rsidRPr="002959A9">
        <w:rPr>
          <w:rFonts w:ascii="Times New Roman" w:hAnsi="Times New Roman" w:cs="Times New Roman"/>
          <w:sz w:val="24"/>
          <w:szCs w:val="24"/>
          <w:lang w:val="de-DE"/>
        </w:rPr>
        <w:t>;</w:t>
      </w:r>
      <w:r w:rsidRPr="002959A9">
        <w:rPr>
          <w:rFonts w:ascii="Times New Roman" w:hAnsi="Times New Roman" w:cs="Times New Roman"/>
          <w:sz w:val="24"/>
          <w:szCs w:val="24"/>
          <w:lang w:val="de-DE"/>
        </w:rPr>
        <w:t>357(25):2601-14</w:t>
      </w:r>
      <w:r w:rsidRPr="002959A9">
        <w:rPr>
          <w:rFonts w:ascii="Times New Roman" w:hAnsi="Times New Roman" w:cs="Times New Roman"/>
          <w:sz w:val="24"/>
          <w:szCs w:val="24"/>
        </w:rPr>
        <w:t>.</w:t>
      </w:r>
    </w:p>
    <w:p w14:paraId="2CC406E5" w14:textId="77777777" w:rsidR="006761E4" w:rsidRPr="002959A9" w:rsidRDefault="006761E4" w:rsidP="006761E4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59A9">
        <w:rPr>
          <w:rFonts w:ascii="Times New Roman" w:hAnsi="Times New Roman" w:cs="Times New Roman"/>
          <w:sz w:val="24"/>
          <w:szCs w:val="24"/>
        </w:rPr>
        <w:t xml:space="preserve">Shetty K, Gilbert K. Dental considerations in the management of cardiac transplant patient. </w:t>
      </w:r>
      <w:hyperlink r:id="rId20" w:tooltip="General dentistry." w:history="1">
        <w:r w:rsidRPr="002959A9">
          <w:rPr>
            <w:rFonts w:ascii="Times New Roman" w:hAnsi="Times New Roman" w:cs="Times New Roman"/>
            <w:sz w:val="24"/>
            <w:szCs w:val="24"/>
            <w:lang w:val="de-DE"/>
          </w:rPr>
          <w:t>Gen Dent.</w:t>
        </w:r>
      </w:hyperlink>
      <w:r w:rsidRPr="002959A9">
        <w:rPr>
          <w:rFonts w:ascii="Times New Roman" w:hAnsi="Times New Roman" w:cs="Times New Roman"/>
          <w:sz w:val="24"/>
          <w:szCs w:val="24"/>
          <w:lang w:val="de-DE"/>
        </w:rPr>
        <w:t xml:space="preserve"> 2008;56(7):727-32.</w:t>
      </w:r>
    </w:p>
    <w:p w14:paraId="774939B5" w14:textId="77777777" w:rsidR="00CB2A65" w:rsidRDefault="006761E4" w:rsidP="00CB2A65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59A9">
        <w:rPr>
          <w:rFonts w:ascii="Times New Roman" w:hAnsi="Times New Roman" w:cs="Times New Roman"/>
          <w:sz w:val="24"/>
          <w:szCs w:val="24"/>
          <w:lang w:val="de-DE"/>
        </w:rPr>
        <w:t xml:space="preserve">American Academy on Pediatric Dentistry. Guideline on Dental Management of Pediatric Patients Receiving Chemotherapy, Hematopoietic Cell Transplantation, and/or Radiation Therapy. </w:t>
      </w:r>
      <w:r w:rsidR="00F05EC1" w:rsidRPr="002959A9">
        <w:rPr>
          <w:rFonts w:ascii="Times New Roman" w:hAnsi="Times New Roman" w:cs="Times New Roman"/>
          <w:sz w:val="24"/>
          <w:szCs w:val="24"/>
          <w:lang w:val="de-DE"/>
        </w:rPr>
        <w:t xml:space="preserve">J </w:t>
      </w:r>
      <w:hyperlink r:id="rId21" w:tooltip="Pediatric dentistry." w:history="1">
        <w:r w:rsidRPr="002959A9">
          <w:rPr>
            <w:rFonts w:ascii="Times New Roman" w:hAnsi="Times New Roman" w:cs="Times New Roman"/>
            <w:sz w:val="24"/>
            <w:szCs w:val="24"/>
            <w:lang w:val="de-DE"/>
          </w:rPr>
          <w:t>Pediatr Dent.</w:t>
        </w:r>
      </w:hyperlink>
      <w:r w:rsidRPr="002959A9">
        <w:rPr>
          <w:rFonts w:ascii="Times New Roman" w:hAnsi="Times New Roman" w:cs="Times New Roman"/>
          <w:sz w:val="24"/>
          <w:szCs w:val="24"/>
          <w:lang w:val="de-DE"/>
        </w:rPr>
        <w:t xml:space="preserve"> 2016;38(6</w:t>
      </w:r>
      <w:r w:rsidRPr="00CB2A65">
        <w:rPr>
          <w:rFonts w:ascii="Times New Roman" w:hAnsi="Times New Roman" w:cs="Times New Roman"/>
          <w:sz w:val="24"/>
          <w:szCs w:val="24"/>
          <w:lang w:val="de-DE"/>
        </w:rPr>
        <w:t>):</w:t>
      </w:r>
      <w:r w:rsidR="00E90BC1" w:rsidRPr="00CB2A65">
        <w:rPr>
          <w:rFonts w:ascii="Times New Roman" w:hAnsi="Times New Roman" w:cs="Times New Roman"/>
          <w:sz w:val="24"/>
          <w:szCs w:val="24"/>
          <w:lang w:val="de-DE"/>
        </w:rPr>
        <w:t>334-</w:t>
      </w:r>
      <w:r w:rsidRPr="00CB2A65">
        <w:rPr>
          <w:rFonts w:ascii="Times New Roman" w:hAnsi="Times New Roman" w:cs="Times New Roman"/>
          <w:sz w:val="24"/>
          <w:szCs w:val="24"/>
          <w:lang w:val="de-DE"/>
        </w:rPr>
        <w:t>42.</w:t>
      </w:r>
    </w:p>
    <w:p w14:paraId="4F37CFA3" w14:textId="77777777" w:rsidR="00C945C9" w:rsidRPr="00CB2A65" w:rsidRDefault="00DE4223" w:rsidP="00CB2A65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2A65">
        <w:rPr>
          <w:rFonts w:ascii="Times New Roman" w:hAnsi="Times New Roman" w:cs="Times New Roman"/>
          <w:sz w:val="24"/>
          <w:szCs w:val="24"/>
        </w:rPr>
        <w:t>Schmalz G, Meisel A, Kollmar O, Kauffels A, Slotta JE, Kottmann T. et al. Oral health-related quality of life depending on dental and periodontal health in different patients before and after liver transplantation.</w:t>
      </w:r>
      <w:r w:rsidRPr="00CB2A65">
        <w:rPr>
          <w:rFonts w:ascii="Times New Roman" w:hAnsi="Times New Roman" w:cs="Times New Roman"/>
        </w:rPr>
        <w:t xml:space="preserve"> </w:t>
      </w:r>
      <w:hyperlink r:id="rId22" w:tooltip="Clinical oral investigations." w:history="1">
        <w:r w:rsidRPr="00CB2A6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Clin </w:t>
        </w:r>
        <w:r w:rsidRPr="00CB2A65">
          <w:rPr>
            <w:rStyle w:val="highlight"/>
            <w:rFonts w:ascii="Times New Roman" w:hAnsi="Times New Roman" w:cs="Times New Roman"/>
            <w:sz w:val="24"/>
            <w:szCs w:val="24"/>
          </w:rPr>
          <w:t>Oral</w:t>
        </w:r>
        <w:r w:rsidRPr="00CB2A6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Investig.</w:t>
        </w:r>
      </w:hyperlink>
      <w:r w:rsidRPr="00CB2A65">
        <w:rPr>
          <w:rFonts w:ascii="Times New Roman" w:hAnsi="Times New Roman" w:cs="Times New Roman"/>
          <w:sz w:val="24"/>
          <w:szCs w:val="24"/>
        </w:rPr>
        <w:t xml:space="preserve"> 2018;22(5):</w:t>
      </w:r>
      <w:r w:rsidR="00E90BC1" w:rsidRPr="00CB2A65">
        <w:rPr>
          <w:rFonts w:ascii="Times New Roman" w:hAnsi="Times New Roman" w:cs="Times New Roman"/>
          <w:sz w:val="24"/>
          <w:szCs w:val="24"/>
        </w:rPr>
        <w:t>2039-</w:t>
      </w:r>
      <w:r w:rsidRPr="00CB2A65">
        <w:rPr>
          <w:rFonts w:ascii="Times New Roman" w:hAnsi="Times New Roman" w:cs="Times New Roman"/>
          <w:sz w:val="24"/>
          <w:szCs w:val="24"/>
        </w:rPr>
        <w:t>45</w:t>
      </w:r>
      <w:r w:rsidR="00C945C9" w:rsidRPr="00CB2A65">
        <w:rPr>
          <w:rFonts w:ascii="Times New Roman" w:hAnsi="Times New Roman" w:cs="Times New Roman"/>
          <w:sz w:val="24"/>
          <w:szCs w:val="24"/>
        </w:rPr>
        <w:t>.</w:t>
      </w:r>
    </w:p>
    <w:p w14:paraId="2B2575DC" w14:textId="77777777" w:rsidR="00DE4223" w:rsidRPr="002959A9" w:rsidRDefault="00DE4223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59A9">
        <w:rPr>
          <w:rFonts w:ascii="Times New Roman" w:hAnsi="Times New Roman" w:cs="Times New Roman"/>
          <w:sz w:val="24"/>
          <w:szCs w:val="24"/>
        </w:rPr>
        <w:lastRenderedPageBreak/>
        <w:t xml:space="preserve">Bogusławska-Kapała A, Hałaburda K, Rusyan E, Gołąbek H, Strużycka I. </w:t>
      </w:r>
      <w:hyperlink r:id="rId23" w:history="1">
        <w:r w:rsidRPr="002959A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Oral health</w:t>
        </w:r>
        <w:r w:rsidRPr="002959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of </w:t>
        </w:r>
        <w:r w:rsidRPr="002959A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adult</w:t>
        </w:r>
        <w:r w:rsidRPr="002959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2959A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patients</w:t>
        </w:r>
        <w:r w:rsidRPr="002959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2959A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undergoing</w:t>
        </w:r>
        <w:r w:rsidRPr="002959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2959A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hematopoietic cell transplantation</w:t>
        </w:r>
        <w:r w:rsidRPr="002959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</w:t>
        </w:r>
        <w:r w:rsidRPr="002959A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Pre-transplant</w:t>
        </w:r>
        <w:r w:rsidRPr="002959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2959A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assessment</w:t>
        </w:r>
        <w:r w:rsidRPr="002959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and </w:t>
        </w:r>
        <w:r w:rsidRPr="002959A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care</w:t>
        </w:r>
        <w:r w:rsidRPr="002959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 w:rsidRPr="002959A9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tooltip="Annals of hematology." w:history="1">
        <w:r w:rsidRPr="002959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Ann Hematol.</w:t>
        </w:r>
      </w:hyperlink>
      <w:r w:rsidRPr="002959A9">
        <w:rPr>
          <w:rFonts w:ascii="Times New Roman" w:hAnsi="Times New Roman" w:cs="Times New Roman"/>
          <w:sz w:val="24"/>
          <w:szCs w:val="24"/>
        </w:rPr>
        <w:t xml:space="preserve"> 2017;96(7</w:t>
      </w:r>
      <w:r w:rsidRPr="00CB2A65">
        <w:rPr>
          <w:rFonts w:ascii="Times New Roman" w:hAnsi="Times New Roman" w:cs="Times New Roman"/>
          <w:sz w:val="24"/>
          <w:szCs w:val="24"/>
        </w:rPr>
        <w:t>):</w:t>
      </w:r>
      <w:r w:rsidR="00E90BC1" w:rsidRPr="00CB2A65">
        <w:rPr>
          <w:rFonts w:ascii="Times New Roman" w:hAnsi="Times New Roman" w:cs="Times New Roman"/>
          <w:sz w:val="24"/>
          <w:szCs w:val="24"/>
        </w:rPr>
        <w:t>1135-</w:t>
      </w:r>
      <w:r w:rsidRPr="00CB2A65">
        <w:rPr>
          <w:rFonts w:ascii="Times New Roman" w:hAnsi="Times New Roman" w:cs="Times New Roman"/>
          <w:sz w:val="24"/>
          <w:szCs w:val="24"/>
        </w:rPr>
        <w:t>45.</w:t>
      </w:r>
      <w:r w:rsidRPr="002959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74400" w14:textId="77777777" w:rsidR="009B1A3F" w:rsidRPr="002959A9" w:rsidRDefault="00DE4223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Nascimento SV, Gonzalez AM, Aguiar RB, Pimentel CFMG, Schirmer J, Mucci S, et al. </w:t>
      </w:r>
      <w:hyperlink r:id="rId25" w:history="1">
        <w:r w:rsidRPr="002959A9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Development</w:t>
        </w:r>
        <w:r w:rsidRPr="002959A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of </w:t>
        </w:r>
        <w:r w:rsidRPr="002959A9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Routine</w:t>
        </w:r>
        <w:r w:rsidRPr="002959A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2959A9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Dental Care</w:t>
        </w:r>
        <w:r w:rsidRPr="002959A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for </w:t>
        </w:r>
        <w:r w:rsidRPr="002959A9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Liver Transplant</w:t>
        </w:r>
        <w:r w:rsidRPr="002959A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Outpatients</w:t>
        </w:r>
      </w:hyperlink>
      <w:r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26" w:tooltip="Transplantation proceedings." w:history="1">
        <w:r w:rsidRPr="002959A9">
          <w:rPr>
            <w:rFonts w:ascii="Times New Roman" w:hAnsi="Times New Roman" w:cs="Times New Roman"/>
            <w:color w:val="000000" w:themeColor="text1"/>
            <w:sz w:val="24"/>
            <w:szCs w:val="24"/>
          </w:rPr>
          <w:t>Transplant Proc.</w:t>
        </w:r>
      </w:hyperlink>
      <w:r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2018;50(3):</w:t>
      </w:r>
      <w:r w:rsidR="00E90BC1" w:rsidRPr="00CB2A65">
        <w:rPr>
          <w:rFonts w:ascii="Times New Roman" w:hAnsi="Times New Roman" w:cs="Times New Roman"/>
          <w:color w:val="000000" w:themeColor="text1"/>
          <w:sz w:val="24"/>
          <w:szCs w:val="24"/>
        </w:rPr>
        <w:t>779-</w:t>
      </w:r>
      <w:r w:rsidRPr="00CB2A65">
        <w:rPr>
          <w:rFonts w:ascii="Times New Roman" w:hAnsi="Times New Roman" w:cs="Times New Roman"/>
          <w:color w:val="000000" w:themeColor="text1"/>
          <w:sz w:val="24"/>
          <w:szCs w:val="24"/>
        </w:rPr>
        <w:t>83.</w:t>
      </w:r>
      <w:r w:rsidRPr="00295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688DFE" w14:textId="77777777" w:rsidR="006761E4" w:rsidRPr="002959A9" w:rsidRDefault="006761E4" w:rsidP="006761E4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59A9">
        <w:rPr>
          <w:rFonts w:ascii="Times New Roman" w:hAnsi="Times New Roman" w:cs="Times New Roman"/>
          <w:sz w:val="24"/>
          <w:szCs w:val="24"/>
        </w:rPr>
        <w:t>Par M, Španović N, Filipović-Zore I. Rizični pacijenti (drugi dio). Sonda. 2009;10(</w:t>
      </w:r>
      <w:r w:rsidRPr="00CB2A65">
        <w:rPr>
          <w:rFonts w:ascii="Times New Roman" w:hAnsi="Times New Roman" w:cs="Times New Roman"/>
          <w:sz w:val="24"/>
          <w:szCs w:val="24"/>
        </w:rPr>
        <w:t>18):</w:t>
      </w:r>
      <w:r w:rsidR="00347932" w:rsidRPr="00CB2A65">
        <w:rPr>
          <w:rFonts w:ascii="Times New Roman" w:hAnsi="Times New Roman" w:cs="Times New Roman"/>
          <w:sz w:val="24"/>
          <w:szCs w:val="24"/>
        </w:rPr>
        <w:t>85-</w:t>
      </w:r>
      <w:r w:rsidRPr="00CB2A65">
        <w:rPr>
          <w:rFonts w:ascii="Times New Roman" w:hAnsi="Times New Roman" w:cs="Times New Roman"/>
          <w:sz w:val="24"/>
          <w:szCs w:val="24"/>
        </w:rPr>
        <w:t>9.</w:t>
      </w:r>
    </w:p>
    <w:p w14:paraId="7E1C0284" w14:textId="77777777" w:rsidR="00C54B14" w:rsidRPr="002959A9" w:rsidRDefault="00C91D29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59A9">
        <w:rPr>
          <w:rFonts w:ascii="Times New Roman" w:hAnsi="Times New Roman" w:cs="Times New Roman"/>
          <w:sz w:val="24"/>
          <w:szCs w:val="24"/>
        </w:rPr>
        <w:t>Hupp JR, Tucker MR, Ellis E. Oral and maxillofacial surgery. 6th ed. St. Louis, Missouri: Elsevier; 2014.</w:t>
      </w:r>
    </w:p>
    <w:p w14:paraId="13997977" w14:textId="77777777" w:rsidR="00756197" w:rsidRPr="002959A9" w:rsidRDefault="00756197" w:rsidP="00756197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59A9">
        <w:rPr>
          <w:rFonts w:ascii="Times New Roman" w:hAnsi="Times New Roman" w:cs="Times New Roman"/>
          <w:sz w:val="24"/>
          <w:szCs w:val="24"/>
        </w:rPr>
        <w:t xml:space="preserve">Kamala.KA, Prashant G. Oral consideration and dental management in organ transplant patient. </w:t>
      </w:r>
      <w:r w:rsidR="00F05EC1" w:rsidRPr="002959A9">
        <w:rPr>
          <w:rFonts w:ascii="Times New Roman" w:hAnsi="Times New Roman" w:cs="Times New Roman"/>
          <w:sz w:val="24"/>
          <w:szCs w:val="24"/>
        </w:rPr>
        <w:t>J Int</w:t>
      </w:r>
      <w:r w:rsidRPr="002959A9">
        <w:rPr>
          <w:rFonts w:ascii="Times New Roman" w:hAnsi="Times New Roman" w:cs="Times New Roman"/>
          <w:sz w:val="24"/>
          <w:szCs w:val="24"/>
        </w:rPr>
        <w:t xml:space="preserve"> Oral Heal</w:t>
      </w:r>
      <w:r w:rsidRPr="00CB2A65">
        <w:rPr>
          <w:rFonts w:ascii="Times New Roman" w:hAnsi="Times New Roman" w:cs="Times New Roman"/>
          <w:sz w:val="24"/>
          <w:szCs w:val="24"/>
        </w:rPr>
        <w:t xml:space="preserve">th. </w:t>
      </w:r>
      <w:r w:rsidR="00C86E05" w:rsidRPr="00CB2A65">
        <w:rPr>
          <w:rFonts w:ascii="Times New Roman" w:hAnsi="Times New Roman" w:cs="Times New Roman"/>
          <w:sz w:val="24"/>
          <w:szCs w:val="24"/>
        </w:rPr>
        <w:t>2010;</w:t>
      </w:r>
      <w:r w:rsidR="00C86E05" w:rsidRPr="00CB2A6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7" w:history="1">
        <w:r w:rsidR="00C86E05" w:rsidRPr="00CB2A65">
          <w:rPr>
            <w:rFonts w:ascii="Times New Roman" w:hAnsi="Times New Roman" w:cs="Times New Roman"/>
            <w:bCs/>
            <w:sz w:val="24"/>
            <w:szCs w:val="24"/>
          </w:rPr>
          <w:t>2(1):1-8.</w:t>
        </w:r>
      </w:hyperlink>
    </w:p>
    <w:p w14:paraId="01D59949" w14:textId="77777777" w:rsidR="00034A2A" w:rsidRPr="002959A9" w:rsidRDefault="00034A2A" w:rsidP="00756197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59A9">
        <w:rPr>
          <w:rFonts w:ascii="Times New Roman" w:eastAsia="Times New Roman" w:hAnsi="Times New Roman" w:cs="Times New Roman"/>
          <w:sz w:val="24"/>
          <w:szCs w:val="24"/>
        </w:rPr>
        <w:t>Wilson W, Taubert KA, Gewitz M, et al. Prevention of infective endocarditis. Guidelines from the American Heart Association. A Guideline from the American Heart Associatio</w:t>
      </w:r>
      <w:r w:rsidR="005B45C3" w:rsidRPr="002959A9">
        <w:rPr>
          <w:rFonts w:ascii="Times New Roman" w:eastAsia="Times New Roman" w:hAnsi="Times New Roman" w:cs="Times New Roman"/>
          <w:sz w:val="24"/>
          <w:szCs w:val="24"/>
        </w:rPr>
        <w:t>n Rheumatic Fever, Endocarditis.</w:t>
      </w:r>
      <w:r w:rsidR="00440213" w:rsidRPr="002959A9">
        <w:rPr>
          <w:rFonts w:ascii="Times New Roman" w:eastAsia="Times New Roman" w:hAnsi="Times New Roman" w:cs="Times New Roman"/>
          <w:sz w:val="24"/>
          <w:szCs w:val="24"/>
        </w:rPr>
        <w:t xml:space="preserve"> Circ J.</w:t>
      </w:r>
      <w:r w:rsidRPr="002959A9">
        <w:rPr>
          <w:rFonts w:ascii="Times New Roman" w:eastAsia="Times New Roman" w:hAnsi="Times New Roman" w:cs="Times New Roman"/>
          <w:sz w:val="24"/>
          <w:szCs w:val="24"/>
        </w:rPr>
        <w:t xml:space="preserve"> 2007;116(15):1736-54.</w:t>
      </w:r>
    </w:p>
    <w:p w14:paraId="7A662AD5" w14:textId="77777777" w:rsidR="00CB2A65" w:rsidRDefault="00483935" w:rsidP="00CB2A65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8" w:history="1">
        <w:r w:rsidR="00177E94" w:rsidRPr="002959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Marik PE</w:t>
        </w:r>
      </w:hyperlink>
      <w:r w:rsidR="00177E94" w:rsidRPr="002959A9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="00177E94" w:rsidRPr="002959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Varon J</w:t>
        </w:r>
      </w:hyperlink>
      <w:r w:rsidR="00177E94" w:rsidRPr="002959A9">
        <w:rPr>
          <w:rFonts w:ascii="Times New Roman" w:hAnsi="Times New Roman" w:cs="Times New Roman"/>
          <w:sz w:val="24"/>
          <w:szCs w:val="24"/>
        </w:rPr>
        <w:t xml:space="preserve">. </w:t>
      </w:r>
      <w:r w:rsidR="00177E94" w:rsidRPr="002959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Requirement of perioperative stress doses of corticosteroids: a systematic review of the literature. </w:t>
      </w:r>
      <w:hyperlink r:id="rId30" w:tooltip="Archives of surgery (Chicago, Ill. : 1960)." w:history="1">
        <w:r w:rsidR="00177E94" w:rsidRPr="002959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Arch Surg.</w:t>
        </w:r>
      </w:hyperlink>
      <w:r w:rsidR="00177E94" w:rsidRPr="002959A9">
        <w:rPr>
          <w:rFonts w:ascii="Times New Roman" w:hAnsi="Times New Roman" w:cs="Times New Roman"/>
          <w:sz w:val="24"/>
          <w:szCs w:val="24"/>
        </w:rPr>
        <w:t xml:space="preserve"> 2008;143(12):1222-6. </w:t>
      </w:r>
    </w:p>
    <w:p w14:paraId="3C8618C1" w14:textId="77777777" w:rsidR="006761E4" w:rsidRPr="00CB2A65" w:rsidRDefault="00483935" w:rsidP="00CB2A65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31" w:history="1">
        <w:r w:rsidR="00177E94" w:rsidRPr="00CB2A6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Liu MM</w:t>
        </w:r>
      </w:hyperlink>
      <w:r w:rsidR="00177E94" w:rsidRPr="00CB2A65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="00177E94" w:rsidRPr="00CB2A6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Reidy AB</w:t>
        </w:r>
      </w:hyperlink>
      <w:r w:rsidR="00177E94" w:rsidRPr="00CB2A65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="00177E94" w:rsidRPr="00CB2A6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Saatee S</w:t>
        </w:r>
      </w:hyperlink>
      <w:r w:rsidR="00177E94" w:rsidRPr="00CB2A65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="00177E94" w:rsidRPr="00CB2A6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Collard CD</w:t>
        </w:r>
      </w:hyperlink>
      <w:r w:rsidR="00177E94" w:rsidRPr="00CB2A65">
        <w:rPr>
          <w:rFonts w:ascii="Times New Roman" w:hAnsi="Times New Roman" w:cs="Times New Roman"/>
          <w:sz w:val="24"/>
          <w:szCs w:val="24"/>
        </w:rPr>
        <w:t>.</w:t>
      </w:r>
      <w:r w:rsidR="00177E94" w:rsidRPr="00CB2A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Perioperative Steroid Management: Approaches Based on Current Evidence. </w:t>
      </w:r>
      <w:r w:rsidR="005B45C3" w:rsidRPr="00CB2A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J Am Soc </w:t>
      </w:r>
      <w:r w:rsidR="00F05EC1" w:rsidRPr="00CB2A65">
        <w:rPr>
          <w:rFonts w:ascii="Times New Roman" w:hAnsi="Times New Roman" w:cs="Times New Roman"/>
          <w:sz w:val="24"/>
          <w:szCs w:val="24"/>
        </w:rPr>
        <w:t>Anasthesiol</w:t>
      </w:r>
      <w:r w:rsidR="00F05EC1" w:rsidRPr="00CB2A65">
        <w:rPr>
          <w:rFonts w:ascii="Times New Roman" w:hAnsi="Times New Roman" w:cs="Times New Roman"/>
          <w:sz w:val="20"/>
          <w:szCs w:val="20"/>
        </w:rPr>
        <w:t xml:space="preserve">. </w:t>
      </w:r>
      <w:r w:rsidR="00177E94" w:rsidRPr="00CB2A65">
        <w:rPr>
          <w:rFonts w:ascii="Times New Roman" w:hAnsi="Times New Roman" w:cs="Times New Roman"/>
          <w:sz w:val="24"/>
          <w:szCs w:val="24"/>
        </w:rPr>
        <w:t>2017;127(1):</w:t>
      </w:r>
      <w:r w:rsidR="00347932" w:rsidRPr="00CB2A65">
        <w:rPr>
          <w:rFonts w:ascii="Times New Roman" w:hAnsi="Times New Roman" w:cs="Times New Roman"/>
          <w:sz w:val="24"/>
          <w:szCs w:val="24"/>
        </w:rPr>
        <w:t>166-</w:t>
      </w:r>
      <w:r w:rsidR="00177E94" w:rsidRPr="00CB2A65">
        <w:rPr>
          <w:rFonts w:ascii="Times New Roman" w:hAnsi="Times New Roman" w:cs="Times New Roman"/>
          <w:sz w:val="24"/>
          <w:szCs w:val="24"/>
        </w:rPr>
        <w:t xml:space="preserve">72. </w:t>
      </w:r>
    </w:p>
    <w:sectPr w:rsidR="006761E4" w:rsidRPr="00CB2A65" w:rsidSect="00BD58BE"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ragana" w:date="2018-11-10T20:24:00Z" w:initials="D">
    <w:p w14:paraId="0FC96BBA" w14:textId="77777777" w:rsidR="00063076" w:rsidRDefault="00063076">
      <w:pPr>
        <w:pStyle w:val="CommentText"/>
      </w:pPr>
      <w:r>
        <w:rPr>
          <w:rStyle w:val="CommentReference"/>
        </w:rPr>
        <w:annotationRef/>
      </w:r>
      <w:r>
        <w:t>točka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C96BBA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80DF9" w14:textId="77777777" w:rsidR="00483935" w:rsidRDefault="00483935" w:rsidP="00820F12">
      <w:pPr>
        <w:spacing w:after="0" w:line="240" w:lineRule="auto"/>
      </w:pPr>
      <w:r>
        <w:separator/>
      </w:r>
    </w:p>
  </w:endnote>
  <w:endnote w:type="continuationSeparator" w:id="0">
    <w:p w14:paraId="3B1181CE" w14:textId="77777777" w:rsidR="00483935" w:rsidRDefault="00483935" w:rsidP="0082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748235"/>
      <w:docPartObj>
        <w:docPartGallery w:val="Page Numbers (Bottom of Page)"/>
        <w:docPartUnique/>
      </w:docPartObj>
    </w:sdtPr>
    <w:sdtEndPr/>
    <w:sdtContent>
      <w:p w14:paraId="57BE3591" w14:textId="0AF10255" w:rsidR="00820F12" w:rsidRDefault="004839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C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19E673" w14:textId="77777777" w:rsidR="00820F12" w:rsidRDefault="00820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57B94" w14:textId="77777777" w:rsidR="00483935" w:rsidRDefault="00483935" w:rsidP="00820F12">
      <w:pPr>
        <w:spacing w:after="0" w:line="240" w:lineRule="auto"/>
      </w:pPr>
      <w:r>
        <w:separator/>
      </w:r>
    </w:p>
  </w:footnote>
  <w:footnote w:type="continuationSeparator" w:id="0">
    <w:p w14:paraId="665B79D0" w14:textId="77777777" w:rsidR="00483935" w:rsidRDefault="00483935" w:rsidP="00820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A2364"/>
    <w:multiLevelType w:val="hybridMultilevel"/>
    <w:tmpl w:val="F13E9E20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76"/>
    <w:rsid w:val="0000061A"/>
    <w:rsid w:val="000035F4"/>
    <w:rsid w:val="00025C02"/>
    <w:rsid w:val="00034A2A"/>
    <w:rsid w:val="00036556"/>
    <w:rsid w:val="0004475E"/>
    <w:rsid w:val="00063076"/>
    <w:rsid w:val="00067939"/>
    <w:rsid w:val="00070491"/>
    <w:rsid w:val="000A3B35"/>
    <w:rsid w:val="000A67E6"/>
    <w:rsid w:val="000D0D8E"/>
    <w:rsid w:val="00103232"/>
    <w:rsid w:val="00105890"/>
    <w:rsid w:val="00122D9D"/>
    <w:rsid w:val="00130B77"/>
    <w:rsid w:val="001349E3"/>
    <w:rsid w:val="0015115A"/>
    <w:rsid w:val="00177E94"/>
    <w:rsid w:val="001B2D7E"/>
    <w:rsid w:val="001C2AF3"/>
    <w:rsid w:val="001C47B6"/>
    <w:rsid w:val="001D0AD5"/>
    <w:rsid w:val="001E7762"/>
    <w:rsid w:val="001F4C1C"/>
    <w:rsid w:val="00222010"/>
    <w:rsid w:val="002518DD"/>
    <w:rsid w:val="002625B5"/>
    <w:rsid w:val="00270477"/>
    <w:rsid w:val="002912D2"/>
    <w:rsid w:val="002959A9"/>
    <w:rsid w:val="002978D7"/>
    <w:rsid w:val="002D3F8A"/>
    <w:rsid w:val="002D48D5"/>
    <w:rsid w:val="002E108F"/>
    <w:rsid w:val="003006A6"/>
    <w:rsid w:val="003229F6"/>
    <w:rsid w:val="00343BC0"/>
    <w:rsid w:val="00347932"/>
    <w:rsid w:val="00357C40"/>
    <w:rsid w:val="003744AE"/>
    <w:rsid w:val="00382639"/>
    <w:rsid w:val="003B1401"/>
    <w:rsid w:val="003D0EB8"/>
    <w:rsid w:val="003E5022"/>
    <w:rsid w:val="003F0ACD"/>
    <w:rsid w:val="003F0CB3"/>
    <w:rsid w:val="004306F4"/>
    <w:rsid w:val="00440213"/>
    <w:rsid w:val="004648A4"/>
    <w:rsid w:val="00483935"/>
    <w:rsid w:val="00484BED"/>
    <w:rsid w:val="00496AC4"/>
    <w:rsid w:val="004E0B1B"/>
    <w:rsid w:val="004E455F"/>
    <w:rsid w:val="00503E2D"/>
    <w:rsid w:val="005640E7"/>
    <w:rsid w:val="005920B3"/>
    <w:rsid w:val="00594516"/>
    <w:rsid w:val="005B45C3"/>
    <w:rsid w:val="005C23FC"/>
    <w:rsid w:val="005E5E4E"/>
    <w:rsid w:val="005E7547"/>
    <w:rsid w:val="00610612"/>
    <w:rsid w:val="006256EB"/>
    <w:rsid w:val="00625BE6"/>
    <w:rsid w:val="00662868"/>
    <w:rsid w:val="006761E4"/>
    <w:rsid w:val="00683427"/>
    <w:rsid w:val="0068742C"/>
    <w:rsid w:val="00690733"/>
    <w:rsid w:val="00690E77"/>
    <w:rsid w:val="00692E44"/>
    <w:rsid w:val="006A375E"/>
    <w:rsid w:val="006E47E5"/>
    <w:rsid w:val="006F778F"/>
    <w:rsid w:val="0070180A"/>
    <w:rsid w:val="00707F12"/>
    <w:rsid w:val="00710D88"/>
    <w:rsid w:val="007128EF"/>
    <w:rsid w:val="00713288"/>
    <w:rsid w:val="007157B6"/>
    <w:rsid w:val="007540E9"/>
    <w:rsid w:val="00756197"/>
    <w:rsid w:val="00761163"/>
    <w:rsid w:val="0076412A"/>
    <w:rsid w:val="0077363D"/>
    <w:rsid w:val="007739C3"/>
    <w:rsid w:val="007B739E"/>
    <w:rsid w:val="007C6C7A"/>
    <w:rsid w:val="00812F0F"/>
    <w:rsid w:val="00820F12"/>
    <w:rsid w:val="0085492E"/>
    <w:rsid w:val="008612D2"/>
    <w:rsid w:val="00864714"/>
    <w:rsid w:val="008650E1"/>
    <w:rsid w:val="008A0376"/>
    <w:rsid w:val="008C0C6A"/>
    <w:rsid w:val="008E1998"/>
    <w:rsid w:val="008F22E2"/>
    <w:rsid w:val="0091302A"/>
    <w:rsid w:val="00932F51"/>
    <w:rsid w:val="009340DC"/>
    <w:rsid w:val="00957AA0"/>
    <w:rsid w:val="0096246D"/>
    <w:rsid w:val="009664FC"/>
    <w:rsid w:val="009B1A3F"/>
    <w:rsid w:val="009B6A8D"/>
    <w:rsid w:val="009C4694"/>
    <w:rsid w:val="009E00AD"/>
    <w:rsid w:val="009E584D"/>
    <w:rsid w:val="00A224AB"/>
    <w:rsid w:val="00A35017"/>
    <w:rsid w:val="00A37A0F"/>
    <w:rsid w:val="00A545EE"/>
    <w:rsid w:val="00A65EEA"/>
    <w:rsid w:val="00A90A0A"/>
    <w:rsid w:val="00AA4A72"/>
    <w:rsid w:val="00AE53E4"/>
    <w:rsid w:val="00B47086"/>
    <w:rsid w:val="00B476B9"/>
    <w:rsid w:val="00B73958"/>
    <w:rsid w:val="00B812FB"/>
    <w:rsid w:val="00BD58BE"/>
    <w:rsid w:val="00BD597E"/>
    <w:rsid w:val="00BE0D50"/>
    <w:rsid w:val="00BE44E8"/>
    <w:rsid w:val="00C00C3C"/>
    <w:rsid w:val="00C07DB3"/>
    <w:rsid w:val="00C155CB"/>
    <w:rsid w:val="00C33AC0"/>
    <w:rsid w:val="00C54B14"/>
    <w:rsid w:val="00C64A0E"/>
    <w:rsid w:val="00C7176E"/>
    <w:rsid w:val="00C71F89"/>
    <w:rsid w:val="00C74094"/>
    <w:rsid w:val="00C86E05"/>
    <w:rsid w:val="00C91D29"/>
    <w:rsid w:val="00C945C9"/>
    <w:rsid w:val="00CB273E"/>
    <w:rsid w:val="00CB2A65"/>
    <w:rsid w:val="00CB3936"/>
    <w:rsid w:val="00CC1148"/>
    <w:rsid w:val="00CC767D"/>
    <w:rsid w:val="00CD4318"/>
    <w:rsid w:val="00CE317A"/>
    <w:rsid w:val="00D128C5"/>
    <w:rsid w:val="00D14882"/>
    <w:rsid w:val="00D22CB1"/>
    <w:rsid w:val="00DE4223"/>
    <w:rsid w:val="00DE754F"/>
    <w:rsid w:val="00E0749B"/>
    <w:rsid w:val="00E145D3"/>
    <w:rsid w:val="00E53313"/>
    <w:rsid w:val="00E90BC1"/>
    <w:rsid w:val="00EB6972"/>
    <w:rsid w:val="00F00CF4"/>
    <w:rsid w:val="00F05EC1"/>
    <w:rsid w:val="00F47EC6"/>
    <w:rsid w:val="00F569D3"/>
    <w:rsid w:val="00F924D5"/>
    <w:rsid w:val="00F964A8"/>
    <w:rsid w:val="00FA0583"/>
    <w:rsid w:val="00FA7668"/>
    <w:rsid w:val="00FB6FDF"/>
    <w:rsid w:val="00FE6414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BCBB"/>
  <w15:docId w15:val="{F939BE1C-031F-491B-9F94-F7BF103D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8BE"/>
  </w:style>
  <w:style w:type="paragraph" w:styleId="Heading1">
    <w:name w:val="heading 1"/>
    <w:basedOn w:val="Normal"/>
    <w:next w:val="Normal"/>
    <w:link w:val="Heading1Char"/>
    <w:uiPriority w:val="9"/>
    <w:qFormat/>
    <w:rsid w:val="00676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0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376"/>
    <w:pPr>
      <w:spacing w:line="240" w:lineRule="auto"/>
    </w:pPr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376"/>
    <w:rPr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7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376"/>
    <w:rPr>
      <w:b/>
      <w:bCs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376"/>
    <w:rPr>
      <w:b/>
      <w:bCs/>
      <w:sz w:val="20"/>
      <w:szCs w:val="20"/>
      <w:lang w:val="de-DE"/>
    </w:rPr>
  </w:style>
  <w:style w:type="table" w:styleId="TableGrid">
    <w:name w:val="Table Grid"/>
    <w:basedOn w:val="TableNormal"/>
    <w:uiPriority w:val="39"/>
    <w:rsid w:val="0075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761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6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761E4"/>
    <w:pPr>
      <w:ind w:left="720"/>
      <w:contextualSpacing/>
    </w:pPr>
  </w:style>
  <w:style w:type="character" w:customStyle="1" w:styleId="highlight">
    <w:name w:val="highlight"/>
    <w:basedOn w:val="DefaultParagraphFont"/>
    <w:rsid w:val="00177E94"/>
  </w:style>
  <w:style w:type="paragraph" w:styleId="Revision">
    <w:name w:val="Revision"/>
    <w:hidden/>
    <w:uiPriority w:val="99"/>
    <w:semiHidden/>
    <w:rsid w:val="002D3F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2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F12"/>
  </w:style>
  <w:style w:type="paragraph" w:styleId="Footer">
    <w:name w:val="footer"/>
    <w:basedOn w:val="Normal"/>
    <w:link w:val="FooterChar"/>
    <w:uiPriority w:val="99"/>
    <w:unhideWhenUsed/>
    <w:rsid w:val="0082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?term=Patterson%20H%5BAuthor%5D&amp;cauthor=true&amp;cauthor_uid=19360024" TargetMode="External"/><Relationship Id="rId18" Type="http://schemas.openxmlformats.org/officeDocument/2006/relationships/hyperlink" Target="https://www.ncbi.nlm.nih.gov/pubmed/9690246" TargetMode="External"/><Relationship Id="rId26" Type="http://schemas.openxmlformats.org/officeDocument/2006/relationships/hyperlink" Target="https://www.ncbi.nlm.nih.gov/pubmed/29661437" TargetMode="External"/><Relationship Id="rId21" Type="http://schemas.openxmlformats.org/officeDocument/2006/relationships/hyperlink" Target="https://www.ncbi.nlm.nih.gov/pubmed/27931474" TargetMode="External"/><Relationship Id="rId34" Type="http://schemas.openxmlformats.org/officeDocument/2006/relationships/hyperlink" Target="https://www.ncbi.nlm.nih.gov/pubmed/?term=Collard%20CD%5BAuthor%5D&amp;cauthor=true&amp;cauthor_uid=2845280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Durey%20K%5BAuthor%5D&amp;cauthor=true&amp;cauthor_uid=19360024" TargetMode="External"/><Relationship Id="rId17" Type="http://schemas.microsoft.com/office/2011/relationships/commentsExtended" Target="commentsExtended.xml"/><Relationship Id="rId25" Type="http://schemas.openxmlformats.org/officeDocument/2006/relationships/hyperlink" Target="https://www.ncbi.nlm.nih.gov/pubmed/29661437" TargetMode="External"/><Relationship Id="rId33" Type="http://schemas.openxmlformats.org/officeDocument/2006/relationships/hyperlink" Target="https://www.ncbi.nlm.nih.gov/pubmed/?term=Saatee%20S%5BAuthor%5D&amp;cauthor=true&amp;cauthor_uid=28452806" TargetMode="Externa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hyperlink" Target="https://www.ncbi.nlm.nih.gov/pubmed/19014035" TargetMode="External"/><Relationship Id="rId29" Type="http://schemas.openxmlformats.org/officeDocument/2006/relationships/hyperlink" Target="https://www.ncbi.nlm.nih.gov/pubmed/?term=Varon%20J%5BAuthor%5D&amp;cauthor=true&amp;cauthor_uid=190751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Oral+care+planning+and+handling+of+immunosuppressed+heart%2C+liver%2C+and+kidney+transplant+patients" TargetMode="External"/><Relationship Id="rId24" Type="http://schemas.openxmlformats.org/officeDocument/2006/relationships/hyperlink" Target="https://www.ncbi.nlm.nih.gov/pubmed/28194493" TargetMode="External"/><Relationship Id="rId32" Type="http://schemas.openxmlformats.org/officeDocument/2006/relationships/hyperlink" Target="https://www.ncbi.nlm.nih.gov/pubmed/?term=Reidy%20AB%5BAuthor%5D&amp;cauthor=true&amp;cauthor_uid=28452806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term=(1)%09Oral+health+of+adult+patients+undergoing+hematopoietic+cell+transplantation.+Pre-transplant+assessment+and+care" TargetMode="External"/><Relationship Id="rId23" Type="http://schemas.openxmlformats.org/officeDocument/2006/relationships/hyperlink" Target="https://www.ncbi.nlm.nih.gov/pubmed/28194493" TargetMode="External"/><Relationship Id="rId28" Type="http://schemas.openxmlformats.org/officeDocument/2006/relationships/hyperlink" Target="https://www.ncbi.nlm.nih.gov/pubmed/?term=Marik%20PE%5BAuthor%5D&amp;cauthor=true&amp;cauthor_uid=1907517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ncbi.nlm.nih.gov/pubmed/?term=Hern%C3%A1ndez%20G%5BAuthor%5D&amp;cauthor=true&amp;cauthor_uid=9582697" TargetMode="External"/><Relationship Id="rId19" Type="http://schemas.openxmlformats.org/officeDocument/2006/relationships/hyperlink" Target="https://www.ncbi.nlm.nih.gov/pubmed/18094380" TargetMode="External"/><Relationship Id="rId31" Type="http://schemas.openxmlformats.org/officeDocument/2006/relationships/hyperlink" Target="https://www.ncbi.nlm.nih.gov/pubmed/?term=Liu%20MM%5BAuthor%5D&amp;cauthor=true&amp;cauthor_uid=284528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12686921" TargetMode="External"/><Relationship Id="rId14" Type="http://schemas.openxmlformats.org/officeDocument/2006/relationships/hyperlink" Target="https://www.ncbi.nlm.nih.gov/pubmed/?term=Gordon%20K%5BAuthor%5D&amp;cauthor=true&amp;cauthor_uid=19360024" TargetMode="External"/><Relationship Id="rId22" Type="http://schemas.openxmlformats.org/officeDocument/2006/relationships/hyperlink" Target="https://www.ncbi.nlm.nih.gov/pubmed/?term=Oral+health-related+quality+of+life+depending+on+dental+and+periodontal+health+in+different+patients+before+and+after+liver+transplantation" TargetMode="External"/><Relationship Id="rId27" Type="http://schemas.openxmlformats.org/officeDocument/2006/relationships/hyperlink" Target="http://www.ispcd.org/userfiles/rishabh/jiohvol2125.pdf" TargetMode="External"/><Relationship Id="rId30" Type="http://schemas.openxmlformats.org/officeDocument/2006/relationships/hyperlink" Target="https://www.ncbi.nlm.nih.gov/pubmed/?term=Requirement+of+Perioperative+Stress+Doses+of+Corticosteroids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A3C19-AC0B-42F8-B321-4EEB1287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4255</Words>
  <Characters>24260</Characters>
  <Application>Microsoft Office Word</Application>
  <DocSecurity>0</DocSecurity>
  <Lines>202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Stomatološki Fakultet</Company>
  <LinksUpToDate>false</LinksUpToDate>
  <CharactersWithSpaces>28459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2019-02-24T09:13:00Z</dcterms:created>
  <dcterms:modified xsi:type="dcterms:W3CDTF">2019-02-24T09:13:00Z</dcterms:modified>
</cp:coreProperties>
</file>